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31635">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b/>
          <w:bCs/>
          <w:sz w:val="52"/>
          <w:szCs w:val="52"/>
          <w:lang w:eastAsia="zh-CN"/>
        </w:rPr>
      </w:pPr>
    </w:p>
    <w:p w14:paraId="529D58B8">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宋体" w:hAnsi="宋体" w:eastAsia="宋体" w:cs="宋体"/>
          <w:b/>
          <w:bCs/>
          <w:sz w:val="52"/>
          <w:szCs w:val="52"/>
        </w:rPr>
      </w:pPr>
      <w:r>
        <w:rPr>
          <w:rFonts w:hint="eastAsia" w:ascii="宋体" w:hAnsi="宋体" w:eastAsia="宋体" w:cs="宋体"/>
          <w:b/>
          <w:bCs/>
          <w:sz w:val="52"/>
          <w:szCs w:val="52"/>
          <w:lang w:eastAsia="zh-CN"/>
        </w:rPr>
        <w:t>德阳经开区沱江流域可持续发展（绵远河段）综合治理项目项目</w:t>
      </w:r>
      <w:r>
        <w:rPr>
          <w:rFonts w:hint="eastAsia" w:ascii="宋体" w:hAnsi="宋体" w:eastAsia="宋体" w:cs="宋体"/>
          <w:b/>
          <w:bCs/>
          <w:sz w:val="52"/>
          <w:szCs w:val="52"/>
        </w:rPr>
        <w:t>情况</w:t>
      </w:r>
    </w:p>
    <w:p w14:paraId="634ED588">
      <w:pPr>
        <w:keepNext w:val="0"/>
        <w:keepLines w:val="0"/>
        <w:pageBreakBefore w:val="0"/>
        <w:wordWrap/>
        <w:overflowPunct/>
        <w:topLinePunct w:val="0"/>
        <w:bidi w:val="0"/>
        <w:snapToGrid w:val="0"/>
        <w:spacing w:line="600" w:lineRule="exact"/>
        <w:ind w:firstLine="643"/>
        <w:outlineLvl w:val="0"/>
        <w:rPr>
          <w:rFonts w:hint="eastAsia" w:cs="仿宋"/>
          <w:b/>
          <w:bCs/>
          <w:sz w:val="28"/>
          <w:szCs w:val="28"/>
        </w:rPr>
      </w:pPr>
    </w:p>
    <w:p w14:paraId="7B9527FA">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b/>
          <w:bCs/>
          <w:sz w:val="44"/>
          <w:szCs w:val="44"/>
          <w:lang w:eastAsia="zh-CN"/>
        </w:rPr>
      </w:pPr>
    </w:p>
    <w:p w14:paraId="5A66283F">
      <w:pPr>
        <w:bidi w:val="0"/>
        <w:rPr>
          <w:rFonts w:hint="eastAsia" w:ascii="仿宋" w:hAnsi="仿宋" w:eastAsia="仿宋" w:cstheme="minorBidi"/>
          <w:kern w:val="2"/>
          <w:sz w:val="32"/>
          <w:szCs w:val="22"/>
          <w:lang w:val="en-US" w:eastAsia="zh-CN" w:bidi="ar-SA"/>
        </w:rPr>
      </w:pPr>
    </w:p>
    <w:p w14:paraId="27D4113C">
      <w:pPr>
        <w:bidi w:val="0"/>
        <w:rPr>
          <w:rFonts w:hint="eastAsia"/>
          <w:lang w:val="en-US" w:eastAsia="zh-CN"/>
        </w:rPr>
      </w:pPr>
    </w:p>
    <w:p w14:paraId="2A385CA9">
      <w:pPr>
        <w:bidi w:val="0"/>
        <w:rPr>
          <w:rFonts w:hint="eastAsia"/>
          <w:lang w:val="en-US" w:eastAsia="zh-CN"/>
        </w:rPr>
      </w:pPr>
    </w:p>
    <w:p w14:paraId="2F1B18AC">
      <w:pPr>
        <w:bidi w:val="0"/>
        <w:rPr>
          <w:rFonts w:hint="eastAsia"/>
          <w:lang w:val="en-US" w:eastAsia="zh-CN"/>
        </w:rPr>
      </w:pPr>
    </w:p>
    <w:p w14:paraId="32928BEF">
      <w:pPr>
        <w:bidi w:val="0"/>
        <w:rPr>
          <w:rFonts w:hint="eastAsia"/>
          <w:lang w:val="en-US" w:eastAsia="zh-CN"/>
        </w:rPr>
      </w:pPr>
    </w:p>
    <w:p w14:paraId="1C634CBC">
      <w:pPr>
        <w:bidi w:val="0"/>
        <w:rPr>
          <w:rFonts w:hint="eastAsia"/>
          <w:lang w:val="en-US" w:eastAsia="zh-CN"/>
        </w:rPr>
      </w:pPr>
    </w:p>
    <w:p w14:paraId="53AC00DF">
      <w:pPr>
        <w:tabs>
          <w:tab w:val="left" w:pos="1209"/>
        </w:tabs>
        <w:bidi w:val="0"/>
        <w:jc w:val="left"/>
        <w:rPr>
          <w:rFonts w:hint="eastAsia" w:ascii="方正楷体简体" w:hAnsi="方正楷体简体" w:eastAsia="方正楷体简体" w:cs="方正楷体简体"/>
          <w:lang w:val="en-US" w:eastAsia="zh-CN"/>
        </w:rPr>
      </w:pPr>
    </w:p>
    <w:p w14:paraId="0FEDD82B">
      <w:pPr>
        <w:tabs>
          <w:tab w:val="left" w:pos="1209"/>
        </w:tabs>
        <w:bidi w:val="0"/>
        <w:jc w:val="left"/>
        <w:rPr>
          <w:rFonts w:hint="eastAsia" w:ascii="方正楷体简体" w:hAnsi="方正楷体简体" w:eastAsia="方正楷体简体" w:cs="方正楷体简体"/>
          <w:lang w:val="en-US" w:eastAsia="zh-CN"/>
        </w:rPr>
      </w:pPr>
    </w:p>
    <w:p w14:paraId="7E388AC4">
      <w:pPr>
        <w:tabs>
          <w:tab w:val="left" w:pos="1209"/>
        </w:tabs>
        <w:bidi w:val="0"/>
        <w:jc w:val="left"/>
        <w:rPr>
          <w:rFonts w:hint="eastAsia" w:ascii="方正楷体简体" w:hAnsi="方正楷体简体" w:eastAsia="方正楷体简体" w:cs="方正楷体简体"/>
          <w:lang w:val="en-US" w:eastAsia="zh-CN"/>
        </w:rPr>
      </w:pPr>
    </w:p>
    <w:p w14:paraId="6707AFA4">
      <w:pPr>
        <w:tabs>
          <w:tab w:val="left" w:pos="1209"/>
        </w:tabs>
        <w:bidi w:val="0"/>
        <w:ind w:firstLine="1280" w:firstLineChars="400"/>
        <w:jc w:val="left"/>
        <w:rPr>
          <w:rFonts w:hint="eastAsia" w:ascii="方正楷体简体" w:hAnsi="方正楷体简体" w:eastAsia="方正楷体简体" w:cs="方正楷体简体"/>
          <w:lang w:val="en-US" w:eastAsia="zh-CN"/>
        </w:rPr>
      </w:pPr>
      <w:r>
        <w:rPr>
          <w:rFonts w:hint="eastAsia" w:ascii="方正楷体简体" w:hAnsi="方正楷体简体" w:eastAsia="方正楷体简体" w:cs="方正楷体简体"/>
          <w:lang w:val="en-US" w:eastAsia="zh-CN"/>
        </w:rPr>
        <w:t>申报单位：德阳经济技术开发区财政金融局</w:t>
      </w:r>
    </w:p>
    <w:p w14:paraId="0450A60A">
      <w:pPr>
        <w:keepNext w:val="0"/>
        <w:keepLines w:val="0"/>
        <w:pageBreakBefore w:val="0"/>
        <w:wordWrap/>
        <w:overflowPunct/>
        <w:topLinePunct w:val="0"/>
        <w:bidi w:val="0"/>
        <w:spacing w:line="600" w:lineRule="exact"/>
        <w:ind w:firstLine="640"/>
        <w:outlineLvl w:val="2"/>
        <w:rPr>
          <w:rFonts w:hint="eastAsia" w:ascii="方正楷体简体" w:hAnsi="方正楷体简体" w:eastAsia="方正楷体简体" w:cs="方正楷体简体"/>
          <w:lang w:val="en-US" w:eastAsia="zh-CN"/>
        </w:rPr>
      </w:pPr>
    </w:p>
    <w:p w14:paraId="4DFF46B4">
      <w:pPr>
        <w:keepNext w:val="0"/>
        <w:keepLines w:val="0"/>
        <w:pageBreakBefore w:val="0"/>
        <w:wordWrap/>
        <w:overflowPunct/>
        <w:topLinePunct w:val="0"/>
        <w:bidi w:val="0"/>
        <w:spacing w:line="600" w:lineRule="exact"/>
        <w:ind w:firstLine="1280" w:firstLineChars="400"/>
        <w:outlineLvl w:val="2"/>
        <w:rPr>
          <w:rFonts w:hint="eastAsia" w:ascii="方正楷体简体" w:hAnsi="方正楷体简体" w:eastAsia="方正楷体简体" w:cs="方正楷体简体"/>
          <w:sz w:val="32"/>
          <w:szCs w:val="32"/>
          <w:lang w:val="zh-CN"/>
        </w:rPr>
      </w:pPr>
      <w:r>
        <w:rPr>
          <w:rFonts w:hint="eastAsia" w:ascii="方正楷体简体" w:hAnsi="方正楷体简体" w:eastAsia="方正楷体简体" w:cs="方正楷体简体"/>
          <w:lang w:val="en-US" w:eastAsia="zh-CN"/>
        </w:rPr>
        <w:t>实施单位：</w:t>
      </w:r>
      <w:r>
        <w:rPr>
          <w:rFonts w:hint="eastAsia" w:ascii="方正楷体简体" w:hAnsi="方正楷体简体" w:eastAsia="方正楷体简体" w:cs="方正楷体简体"/>
          <w:sz w:val="32"/>
          <w:szCs w:val="32"/>
          <w:lang w:val="en-US" w:eastAsia="zh-CN"/>
        </w:rPr>
        <w:t>德阳经济技术开发区住房和城乡建设局</w:t>
      </w:r>
    </w:p>
    <w:p w14:paraId="00F6B997">
      <w:pPr>
        <w:ind w:left="0" w:leftChars="0" w:firstLine="640" w:firstLineChars="200"/>
        <w:rPr>
          <w:rFonts w:hint="eastAsia" w:ascii="方正楷体简体" w:hAnsi="方正楷体简体" w:eastAsia="方正楷体简体" w:cs="方正楷体简体"/>
          <w:lang w:val="en-US" w:eastAsia="zh-CN"/>
        </w:rPr>
      </w:pPr>
    </w:p>
    <w:p w14:paraId="34FEE898">
      <w:pPr>
        <w:ind w:left="0" w:leftChars="0" w:firstLine="1280" w:firstLineChars="400"/>
        <w:rPr>
          <w:rFonts w:hint="eastAsia" w:ascii="方正楷体简体" w:hAnsi="方正楷体简体" w:eastAsia="方正楷体简体" w:cs="方正楷体简体"/>
          <w:lang w:val="en-US" w:eastAsia="zh-CN"/>
        </w:rPr>
      </w:pPr>
      <w:r>
        <w:rPr>
          <w:rFonts w:hint="eastAsia" w:ascii="方正楷体简体" w:hAnsi="方正楷体简体" w:eastAsia="方正楷体简体" w:cs="方正楷体简体"/>
          <w:lang w:val="en-US" w:eastAsia="zh-CN"/>
        </w:rPr>
        <w:t>业主单位：</w:t>
      </w:r>
      <w:r>
        <w:rPr>
          <w:rFonts w:hint="eastAsia" w:ascii="方正楷体简体" w:hAnsi="方正楷体简体" w:eastAsia="方正楷体简体" w:cs="方正楷体简体"/>
          <w:sz w:val="32"/>
          <w:szCs w:val="32"/>
          <w:lang w:val="en-US" w:eastAsia="zh-CN"/>
        </w:rPr>
        <w:t>德阳经济技术开发区重点工程建设中心</w:t>
      </w:r>
    </w:p>
    <w:p w14:paraId="24AA68C6">
      <w:pPr>
        <w:pStyle w:val="7"/>
        <w:numPr>
          <w:ilvl w:val="3"/>
          <w:numId w:val="0"/>
        </w:numPr>
        <w:rPr>
          <w:rFonts w:hint="eastAsia"/>
          <w:lang w:val="en-US" w:eastAsia="zh-CN"/>
        </w:rPr>
      </w:pPr>
    </w:p>
    <w:p w14:paraId="58881344">
      <w:pPr>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outlineLvl w:val="0"/>
        <w:rPr>
          <w:rFonts w:hint="eastAsia" w:ascii="方正小标宋简体" w:hAnsi="方正小标宋简体" w:eastAsia="方正小标宋简体" w:cs="方正小标宋简体"/>
          <w:b/>
          <w:bCs/>
          <w:sz w:val="44"/>
          <w:szCs w:val="44"/>
          <w:lang w:eastAsia="zh-CN"/>
        </w:rPr>
      </w:pPr>
    </w:p>
    <w:p w14:paraId="2C62B60B">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方正小标宋简体" w:hAnsi="方正小标宋简体" w:eastAsia="方正小标宋简体" w:cs="方正小标宋简体"/>
          <w:b/>
          <w:bCs/>
          <w:sz w:val="44"/>
          <w:szCs w:val="44"/>
          <w:lang w:eastAsia="zh-CN"/>
        </w:rPr>
        <w:sectPr>
          <w:headerReference r:id="rId5" w:type="default"/>
          <w:pgSz w:w="11906" w:h="16838"/>
          <w:pgMar w:top="2098" w:right="1587" w:bottom="1588" w:left="1587" w:header="851" w:footer="992" w:gutter="0"/>
          <w:pgNumType w:fmt="numberInDash" w:start="1"/>
          <w:cols w:space="720" w:num="1"/>
          <w:docGrid w:type="lines" w:linePitch="435" w:charSpace="0"/>
        </w:sectPr>
      </w:pPr>
    </w:p>
    <w:p w14:paraId="1CD566C3">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cs="仿宋"/>
          <w:b/>
          <w:bCs/>
          <w:sz w:val="28"/>
          <w:szCs w:val="28"/>
        </w:rPr>
      </w:pPr>
      <w:r>
        <w:rPr>
          <w:rFonts w:hint="eastAsia" w:asciiTheme="majorEastAsia" w:hAnsiTheme="majorEastAsia" w:eastAsiaTheme="majorEastAsia" w:cstheme="majorEastAsia"/>
          <w:b/>
          <w:bCs/>
          <w:sz w:val="44"/>
          <w:szCs w:val="44"/>
          <w:lang w:eastAsia="zh-CN"/>
        </w:rPr>
        <w:t>德阳经开区沱江流域可持续发展（绵远河段）综合治理项目项目</w:t>
      </w:r>
      <w:r>
        <w:rPr>
          <w:rFonts w:hint="eastAsia" w:asciiTheme="majorEastAsia" w:hAnsiTheme="majorEastAsia" w:eastAsiaTheme="majorEastAsia" w:cstheme="majorEastAsia"/>
          <w:b/>
          <w:bCs/>
          <w:sz w:val="44"/>
          <w:szCs w:val="44"/>
        </w:rPr>
        <w:t>情况</w:t>
      </w:r>
    </w:p>
    <w:p w14:paraId="40707831">
      <w:pPr>
        <w:keepNext w:val="0"/>
        <w:keepLines w:val="0"/>
        <w:pageBreakBefore w:val="0"/>
        <w:wordWrap/>
        <w:overflowPunct/>
        <w:topLinePunct w:val="0"/>
        <w:bidi w:val="0"/>
        <w:snapToGrid w:val="0"/>
        <w:spacing w:line="600" w:lineRule="exact"/>
        <w:ind w:firstLine="643"/>
        <w:outlineLvl w:val="0"/>
        <w:rPr>
          <w:rFonts w:hint="default" w:ascii="Times New Roman" w:hAnsi="Times New Roman" w:cs="Times New Roman"/>
          <w:b/>
          <w:bCs/>
          <w:sz w:val="32"/>
          <w:szCs w:val="32"/>
        </w:rPr>
      </w:pPr>
      <w:r>
        <w:rPr>
          <w:rFonts w:hint="default" w:ascii="Times New Roman" w:hAnsi="Times New Roman" w:eastAsia="方正黑体简体" w:cs="Times New Roman"/>
          <w:b w:val="0"/>
          <w:bCs w:val="0"/>
          <w:sz w:val="32"/>
          <w:szCs w:val="32"/>
        </w:rPr>
        <w:t>一、项目基本情况</w:t>
      </w:r>
    </w:p>
    <w:p w14:paraId="1D238C38">
      <w:pPr>
        <w:keepNext w:val="0"/>
        <w:keepLines w:val="0"/>
        <w:pageBreakBefore w:val="0"/>
        <w:wordWrap/>
        <w:overflowPunct/>
        <w:topLinePunct w:val="0"/>
        <w:bidi w:val="0"/>
        <w:spacing w:line="600" w:lineRule="exact"/>
        <w:ind w:firstLine="643"/>
        <w:outlineLvl w:val="1"/>
        <w:rPr>
          <w:rFonts w:hint="default" w:ascii="Times New Roman" w:hAnsi="Times New Roman" w:eastAsia="方正楷体简体" w:cs="Times New Roman"/>
          <w:b/>
          <w:sz w:val="32"/>
          <w:szCs w:val="32"/>
        </w:rPr>
      </w:pPr>
      <w:r>
        <w:rPr>
          <w:rFonts w:hint="default" w:ascii="Times New Roman" w:hAnsi="Times New Roman" w:eastAsia="方正楷体简体" w:cs="Times New Roman"/>
          <w:b/>
          <w:sz w:val="32"/>
          <w:szCs w:val="32"/>
        </w:rPr>
        <w:t>（一）</w:t>
      </w:r>
      <w:r>
        <w:rPr>
          <w:rFonts w:hint="default" w:ascii="Times New Roman" w:hAnsi="Times New Roman" w:eastAsia="方正楷体简体" w:cs="Times New Roman"/>
          <w:b/>
          <w:sz w:val="32"/>
          <w:szCs w:val="32"/>
          <w:lang w:val="en-US" w:eastAsia="zh-CN"/>
        </w:rPr>
        <w:t>省</w:t>
      </w:r>
      <w:r>
        <w:rPr>
          <w:rFonts w:hint="default" w:ascii="Times New Roman" w:hAnsi="Times New Roman" w:eastAsia="方正楷体简体" w:cs="Times New Roman"/>
          <w:b/>
          <w:sz w:val="32"/>
          <w:szCs w:val="32"/>
        </w:rPr>
        <w:t>市县及行业专项规划概况</w:t>
      </w:r>
    </w:p>
    <w:p w14:paraId="39750009">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（1）</w:t>
      </w:r>
      <w:r>
        <w:rPr>
          <w:rFonts w:hint="default" w:ascii="Times New Roman" w:hAnsi="Times New Roman" w:eastAsia="方正仿宋简体" w:cs="Times New Roman"/>
          <w:b/>
          <w:bCs/>
          <w:sz w:val="32"/>
          <w:szCs w:val="32"/>
          <w:lang w:val="en-US" w:eastAsia="zh-CN"/>
        </w:rPr>
        <w:t>四川省</w:t>
      </w:r>
      <w:r>
        <w:rPr>
          <w:rFonts w:hint="default" w:ascii="Times New Roman" w:hAnsi="Times New Roman" w:eastAsia="方正仿宋简体" w:cs="Times New Roman"/>
          <w:b/>
          <w:bCs/>
          <w:sz w:val="32"/>
          <w:szCs w:val="32"/>
        </w:rPr>
        <w:t>行业规划</w:t>
      </w:r>
    </w:p>
    <w:p w14:paraId="1EDC5465">
      <w:pPr>
        <w:bidi w:val="0"/>
        <w:rPr>
          <w:rFonts w:hint="default"/>
          <w:lang w:eastAsia="zh-CN"/>
        </w:rPr>
      </w:pPr>
      <w:r>
        <w:rPr>
          <w:rFonts w:hint="default"/>
          <w:lang w:eastAsia="zh-CN"/>
        </w:rPr>
        <w:t>为推动城市水环境设施建设发展，依据《四川省国民经济和社会发展第十四个五年规划和二〇三五年远景目标纲要》，结合《关于全面推进流域水环境综合治理工作的实施意见》，综合考虑我省长江流域综合治理的实际情况，提出了深化流域环境综合整治。</w:t>
      </w:r>
    </w:p>
    <w:p w14:paraId="61558A47">
      <w:pPr>
        <w:bidi w:val="0"/>
        <w:rPr>
          <w:rFonts w:hint="default"/>
          <w:lang w:eastAsia="zh-CN"/>
        </w:rPr>
      </w:pPr>
      <w:r>
        <w:rPr>
          <w:rFonts w:hint="default"/>
          <w:lang w:eastAsia="zh-CN"/>
        </w:rPr>
        <w:t>《规划》明确，深化流域环境综合整治。强化河（湖）长制，划定河湖管理范围，加强涉水空间管控，建立水环境管理控制单元体系，推进湖库水环境综合整治和流域岸线保护。巩固提升岷江、沱江等重点流域水质。加强赤水河等省际跨界河流、川西北黄河流域综合治理。</w:t>
      </w:r>
    </w:p>
    <w:p w14:paraId="0A891E66">
      <w:pPr>
        <w:bidi w:val="0"/>
        <w:rPr>
          <w:rFonts w:hint="default"/>
          <w:lang w:eastAsia="zh-CN"/>
        </w:rPr>
      </w:pPr>
      <w:r>
        <w:rPr>
          <w:rFonts w:hint="default"/>
          <w:lang w:eastAsia="zh-CN"/>
        </w:rPr>
        <w:t>《规划》提出，加强防汛薄弱环节建设。推进流域防洪控制性水库建设，建成土溪口、黄石盘水库等工程，开工建设青峪口、米市水库等工程，提高洪水调蓄能力。加快病险水库除险加固，推进主要江河重点河段堤防护岸工程建设，实施中小河流防洪治理、城市防洪排涝、山洪灾害防治等工程。完善水文站网与防汛非工程措施，加快信息化、自动化、智能化建设，提升监测预警和防洪调度能力，推进智慧水利建设。</w:t>
      </w:r>
    </w:p>
    <w:p w14:paraId="28E7AE85">
      <w:pPr>
        <w:bidi w:val="0"/>
        <w:rPr>
          <w:rFonts w:hint="default"/>
          <w:lang w:eastAsia="zh-CN"/>
        </w:rPr>
      </w:pPr>
      <w:r>
        <w:rPr>
          <w:rFonts w:hint="default"/>
          <w:lang w:eastAsia="zh-CN"/>
        </w:rPr>
        <w:t>2020年，国家生态环境部发布了《重点流域水生态环境保护“十四五”规划》。文中指出：“十四五”规划提出要坚持山水林田湖草系统治理，要协同好水生态、水资源、水环境。做好生态保护，坚持“一点两线”，一点就是流域生态环境质量是一个不断变化的状态点。两线，一条是减排，一条是增容，也就是增加环境容量，或者叫增加环境承载力。做好山水林田湖草系统治理，统筹好水生态、水环境、水资源。</w:t>
      </w:r>
    </w:p>
    <w:p w14:paraId="109CBF01">
      <w:pPr>
        <w:bidi w:val="0"/>
        <w:rPr>
          <w:rFonts w:hint="default"/>
          <w:lang w:eastAsia="zh-CN"/>
        </w:rPr>
      </w:pPr>
      <w:r>
        <w:rPr>
          <w:rFonts w:hint="default"/>
          <w:lang w:eastAsia="zh-CN"/>
        </w:rPr>
        <w:t>在水资源方面，要以生态流量的保障为重点，力争在“有河有水”方面实现突破。水生态方面，要以维护河湖生态功能需要为重点，明确河湖生态保护修复的措施，力争在“有鱼有草”方面实现突破。所谓“有鱼有草”就是让生物多样性增加、生物链完整性更好，水体自</w:t>
      </w:r>
      <w:r>
        <w:rPr>
          <w:rFonts w:hint="eastAsia"/>
          <w:lang w:val="en-US" w:eastAsia="zh-CN"/>
        </w:rPr>
        <w:t>净功能更强大。</w:t>
      </w:r>
    </w:p>
    <w:p w14:paraId="12DB8FB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（2）</w:t>
      </w:r>
      <w:r>
        <w:rPr>
          <w:rFonts w:hint="default" w:ascii="Times New Roman" w:hAnsi="Times New Roman" w:eastAsia="方正仿宋简体" w:cs="Times New Roman"/>
          <w:b/>
          <w:bCs/>
          <w:sz w:val="32"/>
          <w:szCs w:val="32"/>
          <w:lang w:val="en-US" w:eastAsia="zh-CN"/>
        </w:rPr>
        <w:t>德阳市行业规划</w:t>
      </w:r>
    </w:p>
    <w:p w14:paraId="756341D1">
      <w:pPr>
        <w:bidi w:val="0"/>
        <w:rPr>
          <w:rFonts w:hint="default"/>
          <w:lang w:eastAsia="zh-CN"/>
        </w:rPr>
      </w:pPr>
      <w:r>
        <w:rPr>
          <w:rFonts w:hint="default"/>
          <w:lang w:eastAsia="zh-CN"/>
        </w:rPr>
        <w:t>为推动城市水环境设施建设发展，改善城市面貌，提升城市品质。根据党的十八大及十八届三中、四中、五中全会精神和《德阳市国民经济和社会发展第十四个五年规划和二〇三五年远景目标纲要》、《德阳市城市总体规划(2016—2030)》中指出：德阳市城市发展战略将注重生态品质。保持良好的山水田园生态格局，打造绿色生活空间，培育绿色生态环境，建设生态文明示范，不断提升基本公共服务优质化和均等化水平，建设具有一流公共服务和人居环境。</w:t>
      </w:r>
    </w:p>
    <w:p w14:paraId="02E3D3FB">
      <w:pPr>
        <w:bidi w:val="0"/>
        <w:rPr>
          <w:rFonts w:hint="default"/>
          <w:lang w:eastAsia="zh-CN"/>
        </w:rPr>
      </w:pPr>
      <w:r>
        <w:rPr>
          <w:rFonts w:hint="default"/>
          <w:lang w:eastAsia="zh-CN"/>
        </w:rPr>
        <w:t>《规划》提出，水环境保护和治理。实施青白江、湔江（鸭子河）等跨（共）界水体综合整治工程。推进水生态修复工程。加快推进德阳高新区水系综合整治工程，推进德阳经开区沱江流域可持续发展（绵远河段）综合治理项目，积极推进主要江河水生态提升工程前期工作，加大水土流失治理力度，积极推进绵竹市、罗江区等河湖水系连通与农村水系综合整治项目以及凯江流域、黄水河、马尾河等水环境治理前期工作。提升水安全保障能力。以全省“再造都江堰”水利大提升行动为契机，聚焦用水总量不足和用水安全问题，加快推进大中型蓄水工程建设，完善防洪安全保障体系，提升水资源配置和水旱灾害防御能力，加强水资源保护力度，强化节约用水意识，促进人水和谐。</w:t>
      </w:r>
    </w:p>
    <w:p w14:paraId="071B29CB">
      <w:pPr>
        <w:bidi w:val="0"/>
        <w:rPr>
          <w:rFonts w:hint="default"/>
          <w:lang w:eastAsia="zh-CN"/>
        </w:rPr>
      </w:pPr>
      <w:r>
        <w:rPr>
          <w:rFonts w:hint="default"/>
          <w:lang w:eastAsia="zh-CN"/>
        </w:rPr>
        <w:t>《规划》提出，德阳市环境改善重点工程接下来是推进天府数谷五大湖区重大生态保护和修复工程（一期）、罗江周家坝生态湿地保护及资源循环利用项目、德阳高新区水系综合整治项目、罗江区流域水环境治理项目、黄水河（金山段）流域水环境综合整治项目、绵远河生态整治工程、绵远河汉旺富新段河道治理项目、湔江鸭子河生态治理工程、沱江流域水环境综合治理项目、广汉市沱江流域水生态综合治理项目、凯江、郪江流域综合治理项目。</w:t>
      </w:r>
    </w:p>
    <w:p w14:paraId="78465D6C">
      <w:pPr>
        <w:keepNext w:val="0"/>
        <w:keepLines w:val="0"/>
        <w:pageBreakBefore w:val="0"/>
        <w:wordWrap/>
        <w:overflowPunct/>
        <w:topLinePunct w:val="0"/>
        <w:bidi w:val="0"/>
        <w:spacing w:line="600" w:lineRule="exact"/>
        <w:ind w:firstLine="643"/>
        <w:outlineLvl w:val="1"/>
        <w:rPr>
          <w:rFonts w:hint="default" w:ascii="Times New Roman" w:hAnsi="Times New Roman" w:cs="Times New Roman"/>
          <w:b/>
          <w:sz w:val="32"/>
          <w:szCs w:val="32"/>
        </w:rPr>
      </w:pPr>
      <w:r>
        <w:rPr>
          <w:rFonts w:hint="default" w:ascii="Times New Roman" w:hAnsi="Times New Roman" w:eastAsia="方正楷体简体" w:cs="Times New Roman"/>
          <w:b/>
          <w:sz w:val="32"/>
          <w:szCs w:val="32"/>
        </w:rPr>
        <w:t>（二）项目情况</w:t>
      </w:r>
    </w:p>
    <w:p w14:paraId="59EC3AD8">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1．参与主体</w:t>
      </w:r>
    </w:p>
    <w:p w14:paraId="7A7BB6B7">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zh-CN"/>
        </w:rPr>
      </w:pPr>
      <w:r>
        <w:rPr>
          <w:rFonts w:hint="default" w:ascii="Times New Roman" w:hAnsi="Times New Roman" w:eastAsia="方正仿宋简体" w:cs="Times New Roman"/>
          <w:b/>
          <w:bCs/>
          <w:sz w:val="32"/>
          <w:szCs w:val="32"/>
          <w:lang w:val="zh-CN"/>
        </w:rPr>
        <w:t>行业主管部门：</w:t>
      </w:r>
      <w:r>
        <w:rPr>
          <w:rFonts w:hint="default" w:ascii="Times New Roman" w:hAnsi="Times New Roman" w:eastAsia="方正仿宋简体" w:cs="Times New Roman"/>
          <w:sz w:val="32"/>
          <w:szCs w:val="32"/>
          <w:lang w:val="en-US" w:eastAsia="zh-CN"/>
        </w:rPr>
        <w:t>德阳经济技术开发区住房和城乡建设局</w:t>
      </w:r>
    </w:p>
    <w:p w14:paraId="4B3B2C03">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zh-CN" w:eastAsia="zh-CN"/>
        </w:rPr>
      </w:pPr>
      <w:r>
        <w:rPr>
          <w:rFonts w:hint="default" w:ascii="Times New Roman" w:hAnsi="Times New Roman" w:eastAsia="方正仿宋简体" w:cs="Times New Roman"/>
          <w:b/>
          <w:bCs/>
          <w:sz w:val="32"/>
          <w:szCs w:val="32"/>
          <w:lang w:val="zh-CN"/>
        </w:rPr>
        <w:t>项目单位：</w:t>
      </w:r>
      <w:r>
        <w:rPr>
          <w:rFonts w:hint="default" w:ascii="Times New Roman" w:hAnsi="Times New Roman" w:eastAsia="方正仿宋简体" w:cs="Times New Roman"/>
          <w:sz w:val="32"/>
          <w:szCs w:val="32"/>
          <w:lang w:val="en-US" w:eastAsia="zh-CN"/>
        </w:rPr>
        <w:t>德阳经济技术开发区重点工程建设中心（德阳经济技术开发区征收拆迁服务中心）</w:t>
      </w:r>
    </w:p>
    <w:p w14:paraId="0BF3EA4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2．项目概况</w:t>
      </w:r>
    </w:p>
    <w:p w14:paraId="0B0D0285">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zh-CN"/>
        </w:rPr>
        <w:t>（１）项目所属领域：</w:t>
      </w:r>
      <w:r>
        <w:rPr>
          <w:rFonts w:hint="default" w:ascii="Times New Roman" w:hAnsi="Times New Roman" w:eastAsia="方正仿宋简体" w:cs="Times New Roman"/>
          <w:sz w:val="32"/>
          <w:szCs w:val="32"/>
          <w:lang w:val="en" w:eastAsia="zh-CN"/>
        </w:rPr>
        <w:t>项目属于</w:t>
      </w:r>
      <w:r>
        <w:rPr>
          <w:rFonts w:hint="default" w:ascii="Times New Roman" w:hAnsi="Times New Roman" w:eastAsia="方正仿宋简体" w:cs="Times New Roman"/>
          <w:sz w:val="32"/>
          <w:szCs w:val="32"/>
          <w:lang w:val="en-US" w:eastAsia="zh-CN"/>
        </w:rPr>
        <w:t>国家重大战略项目-长江经济带发展</w:t>
      </w:r>
      <w:r>
        <w:rPr>
          <w:rFonts w:hint="eastAsia" w:ascii="Times New Roman" w:hAnsi="Times New Roman" w:eastAsia="方正仿宋简体" w:cs="Times New Roman"/>
          <w:sz w:val="32"/>
          <w:szCs w:val="32"/>
          <w:lang w:val="en-US" w:eastAsia="zh-CN"/>
        </w:rPr>
        <w:t>项目</w:t>
      </w:r>
      <w:r>
        <w:rPr>
          <w:rFonts w:hint="default" w:ascii="Times New Roman" w:hAnsi="Times New Roman" w:eastAsia="方正仿宋简体" w:cs="Times New Roman"/>
          <w:sz w:val="32"/>
          <w:szCs w:val="32"/>
          <w:lang w:val="en" w:eastAsia="zh-CN"/>
        </w:rPr>
        <w:t>，属于有一定收益的公益性项目</w:t>
      </w:r>
      <w:r>
        <w:rPr>
          <w:rFonts w:hint="default" w:ascii="Times New Roman" w:hAnsi="Times New Roman" w:eastAsia="方正仿宋简体" w:cs="Times New Roman"/>
          <w:sz w:val="32"/>
          <w:szCs w:val="32"/>
          <w:lang w:eastAsia="zh-CN"/>
        </w:rPr>
        <w:t>。</w:t>
      </w:r>
    </w:p>
    <w:p w14:paraId="38759974">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zh-CN"/>
        </w:rPr>
        <w:t>（２）建设地点：</w:t>
      </w:r>
      <w:r>
        <w:rPr>
          <w:rFonts w:hint="default" w:ascii="Times New Roman" w:hAnsi="Times New Roman" w:eastAsia="方正仿宋简体" w:cs="Times New Roman"/>
          <w:sz w:val="32"/>
          <w:szCs w:val="32"/>
          <w:lang w:val="en-US" w:eastAsia="zh-CN"/>
        </w:rPr>
        <w:t>德阳经开区。</w:t>
      </w:r>
    </w:p>
    <w:p w14:paraId="185F6187">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zh-CN"/>
        </w:rPr>
      </w:pPr>
      <w:r>
        <w:rPr>
          <w:rFonts w:hint="default" w:ascii="Times New Roman" w:hAnsi="Times New Roman" w:eastAsia="方正仿宋简体" w:cs="Times New Roman"/>
          <w:sz w:val="32"/>
          <w:szCs w:val="32"/>
          <w:lang w:val="zh-CN"/>
        </w:rPr>
        <w:t>（３）建设内容和规模：</w:t>
      </w:r>
    </w:p>
    <w:p w14:paraId="5C61CB61">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建设内容：新建约812亩生态人工湿地和生态防护绿廊工程，整治河道岸线约2.7公里，包括生态护坡、河道整理、岸线整治、人行步道、截污防渗工程及配套基础设施等。</w:t>
      </w:r>
    </w:p>
    <w:p w14:paraId="595465EA">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黑体简体" w:cs="Times New Roman"/>
          <w:b w:val="0"/>
          <w:bCs w:val="0"/>
          <w:sz w:val="32"/>
          <w:szCs w:val="32"/>
        </w:rPr>
      </w:pPr>
      <w:r>
        <w:rPr>
          <w:rFonts w:hint="default" w:ascii="Times New Roman" w:hAnsi="Times New Roman" w:eastAsia="方正黑体简体" w:cs="Times New Roman"/>
          <w:b w:val="0"/>
          <w:bCs w:val="0"/>
          <w:sz w:val="32"/>
          <w:szCs w:val="32"/>
        </w:rPr>
        <w:t>二、经济社会效益分析</w:t>
      </w:r>
    </w:p>
    <w:p w14:paraId="282A0BC3">
      <w:pPr>
        <w:keepNext w:val="0"/>
        <w:keepLines w:val="0"/>
        <w:pageBreakBefore w:val="0"/>
        <w:wordWrap/>
        <w:overflowPunct/>
        <w:topLinePunct w:val="0"/>
        <w:bidi w:val="0"/>
        <w:spacing w:line="600" w:lineRule="exact"/>
        <w:ind w:firstLine="643"/>
        <w:outlineLvl w:val="1"/>
        <w:rPr>
          <w:rFonts w:hint="default" w:ascii="Times New Roman" w:hAnsi="Times New Roman" w:eastAsia="方正楷体简体" w:cs="Times New Roman"/>
          <w:b/>
          <w:sz w:val="32"/>
          <w:szCs w:val="32"/>
        </w:rPr>
      </w:pPr>
      <w:bookmarkStart w:id="0" w:name="_Toc7158"/>
      <w:bookmarkStart w:id="1" w:name="_Toc23695"/>
      <w:r>
        <w:rPr>
          <w:rFonts w:hint="default" w:ascii="Times New Roman" w:hAnsi="Times New Roman" w:eastAsia="方正楷体简体" w:cs="Times New Roman"/>
          <w:b/>
          <w:sz w:val="32"/>
          <w:szCs w:val="32"/>
        </w:rPr>
        <w:t>（一）经济效益分析</w:t>
      </w:r>
      <w:bookmarkEnd w:id="0"/>
      <w:bookmarkEnd w:id="1"/>
    </w:p>
    <w:p w14:paraId="2CE55DC7">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lang w:val="en-US" w:eastAsia="zh-CN"/>
        </w:rPr>
      </w:pPr>
      <w:bookmarkStart w:id="2" w:name="_Toc13056"/>
      <w:bookmarkStart w:id="3" w:name="_Toc11009"/>
      <w:bookmarkStart w:id="4" w:name="_Toc1918"/>
      <w:bookmarkStart w:id="5" w:name="OLE_LINK9"/>
      <w:bookmarkStart w:id="6" w:name="_Toc32508"/>
      <w:bookmarkStart w:id="7" w:name="_Toc25460"/>
      <w:r>
        <w:rPr>
          <w:rFonts w:hint="default" w:ascii="Times New Roman" w:hAnsi="Times New Roman" w:eastAsia="方正仿宋简体" w:cs="Times New Roman"/>
          <w:b/>
          <w:bCs/>
          <w:sz w:val="32"/>
          <w:szCs w:val="32"/>
        </w:rPr>
        <w:t>1.项目建设将</w:t>
      </w:r>
      <w:bookmarkStart w:id="8" w:name="_Toc7595"/>
      <w:r>
        <w:rPr>
          <w:rFonts w:hint="default" w:ascii="Times New Roman" w:hAnsi="Times New Roman" w:eastAsia="方正仿宋简体" w:cs="Times New Roman"/>
          <w:b/>
          <w:bCs/>
          <w:sz w:val="32"/>
          <w:szCs w:val="32"/>
          <w:lang w:val="en-US" w:eastAsia="zh-CN"/>
        </w:rPr>
        <w:t>促进经区域济发展</w:t>
      </w:r>
      <w:bookmarkEnd w:id="8"/>
    </w:p>
    <w:p w14:paraId="4B720D1F">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本项目的实施将大大改善经开区自然环境和长江生态环境，进而改善了当地的投资环境，吸引更过的优质企业和投资者入驻。</w:t>
      </w:r>
    </w:p>
    <w:p w14:paraId="1A40F73C">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通过“绿色环境”发展“绿色经济”，不断壮大绿色工业，加快传统产业绿色化改造，做强做大低碳循环产业。推进了新旧动能加速转换。通过大力发展第三方商贸流通业、信息服务业、金融服务业、科技服务业、商务服务业等现代服务业，推进了循环经济示范试点，加快了发展战略性新兴产业的步伐。</w:t>
      </w:r>
    </w:p>
    <w:p w14:paraId="46A23A32">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通过优先发展节能环保产业，有效地整合区域内现有企业技术优势，加强了与国内外科研院所、行业龙头企业深度的合作，重点发展节能技术产品和装备、资源综合利用技术产品和装备、环保技术产品和装备和节能环保技术服务等，将有效推进优势特色节能环保产业加快发展。</w:t>
      </w:r>
    </w:p>
    <w:p w14:paraId="6D531163">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通过本项目的实施，加强了对自然保护区内旅游活动的监管，强化了旅游开发中生态环境规划和节能减排规划的重要作用，推进了旅游全产业链进行生态化、低碳化设计，有利于利用生态环境发展生态旅游业，将生态资源转化为了经济资源。</w:t>
      </w:r>
    </w:p>
    <w:p w14:paraId="542287A7">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2.</w:t>
      </w:r>
      <w:r>
        <w:rPr>
          <w:rFonts w:hint="default" w:ascii="Times New Roman" w:hAnsi="Times New Roman" w:eastAsia="方正仿宋简体" w:cs="Times New Roman"/>
          <w:b/>
          <w:bCs/>
          <w:sz w:val="32"/>
          <w:szCs w:val="32"/>
          <w:lang w:val="en-US" w:eastAsia="zh-CN"/>
        </w:rPr>
        <w:t>项目建设有利于推动城区改造升级，促进经济发展</w:t>
      </w:r>
    </w:p>
    <w:bookmarkEnd w:id="2"/>
    <w:bookmarkEnd w:id="3"/>
    <w:bookmarkEnd w:id="4"/>
    <w:bookmarkEnd w:id="5"/>
    <w:p w14:paraId="2395FCD8">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ru-RU"/>
        </w:rPr>
      </w:pPr>
      <w:r>
        <w:rPr>
          <w:rFonts w:hint="default" w:ascii="Times New Roman" w:hAnsi="Times New Roman" w:eastAsia="方正仿宋简体" w:cs="Times New Roman"/>
          <w:sz w:val="32"/>
          <w:szCs w:val="32"/>
          <w:lang w:val="ru-RU"/>
        </w:rPr>
        <w:t>该项目建设后有利于促进城市建设着力构筑“山、水、林、田、城”融合发展的生态安全格局，重点建设生态核心区、生态廊道和生态节点，提升生态环境品质，构建“三区、多点、多廊”的生态安全格局体系。石亭江作为其中“多点”、“多廊”之一，将开展绿化造林和湿地修复，严格控制河流沿岸农业及工业污染，提升河流生态服务功能。</w:t>
      </w:r>
    </w:p>
    <w:p w14:paraId="3F80BAB1">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ru-RU"/>
        </w:rPr>
      </w:pPr>
      <w:r>
        <w:rPr>
          <w:rFonts w:hint="default" w:ascii="Times New Roman" w:hAnsi="Times New Roman" w:eastAsia="方正仿宋简体" w:cs="Times New Roman"/>
          <w:sz w:val="32"/>
          <w:szCs w:val="32"/>
          <w:lang w:val="ru-RU"/>
        </w:rPr>
        <w:t>本工程的建设是德阳市经开区规划发展的需要，也是德阳市城市总体规划实施的需要。项目的建设有利于加快市政基础设施建设，完善城市功能，扩大城镇辐射能力，环境建设与国民经济良性互动，协调发展。</w:t>
      </w:r>
    </w:p>
    <w:p w14:paraId="5DABD84F">
      <w:pPr>
        <w:keepNext w:val="0"/>
        <w:keepLines w:val="0"/>
        <w:pageBreakBefore w:val="0"/>
        <w:wordWrap/>
        <w:overflowPunct/>
        <w:topLinePunct w:val="0"/>
        <w:bidi w:val="0"/>
        <w:spacing w:line="600" w:lineRule="exact"/>
        <w:ind w:firstLine="643"/>
        <w:outlineLvl w:val="1"/>
        <w:rPr>
          <w:rFonts w:hint="default" w:ascii="Times New Roman" w:hAnsi="Times New Roman" w:eastAsia="方正楷体简体" w:cs="Times New Roman"/>
          <w:b/>
          <w:sz w:val="32"/>
          <w:szCs w:val="32"/>
        </w:rPr>
      </w:pPr>
      <w:r>
        <w:rPr>
          <w:rFonts w:hint="default" w:ascii="Times New Roman" w:hAnsi="Times New Roman" w:eastAsia="方正楷体简体" w:cs="Times New Roman"/>
          <w:b/>
          <w:sz w:val="32"/>
          <w:szCs w:val="32"/>
        </w:rPr>
        <w:t>（二）社会效益分析</w:t>
      </w:r>
      <w:bookmarkEnd w:id="6"/>
      <w:bookmarkEnd w:id="7"/>
    </w:p>
    <w:p w14:paraId="15068430">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通过本项目的实施，减少了河道入泥量和污水量，提升了区域防洪减灾能力，可为居民的生活创造优美的人居环境，对减少疾病、保障人民身体健康，改善人民的物质文化生活水平，促进社会和谐发展具有重要的意义。本项目通过一系列的环境保护建设，改善了经开区人民的出行条件，提高了人民的生活质量和生存环境，在项目实施过程中提供了大量的就业岗位，提高了人民的工资性收入，有利于社会稳定和和谐发展。</w:t>
      </w:r>
    </w:p>
    <w:p w14:paraId="2FE3D683">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经开区临水而建“治理一条河改变一座城”，项目的实施有助于改善区域水生态环境，有助于提高公共服务能力，有助于保障居民的身心健康，有助于提高居民的幸福感，有助于改善经开区长江沿线的投资环境，有助于实现一江清水涓涓流的美好愿景。</w:t>
      </w:r>
    </w:p>
    <w:p w14:paraId="2059929B">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黑体简体" w:cs="Times New Roman"/>
          <w:b w:val="0"/>
          <w:bCs w:val="0"/>
          <w:sz w:val="32"/>
          <w:szCs w:val="32"/>
        </w:rPr>
      </w:pPr>
      <w:r>
        <w:rPr>
          <w:rFonts w:hint="default" w:ascii="Times New Roman" w:hAnsi="Times New Roman" w:eastAsia="方正黑体简体" w:cs="Times New Roman"/>
          <w:b w:val="0"/>
          <w:bCs w:val="0"/>
          <w:sz w:val="32"/>
          <w:szCs w:val="32"/>
        </w:rPr>
        <w:t>三、项目投资估算及资金筹措方案</w:t>
      </w:r>
    </w:p>
    <w:p w14:paraId="4F606A8D">
      <w:pPr>
        <w:keepNext w:val="0"/>
        <w:keepLines w:val="0"/>
        <w:pageBreakBefore w:val="0"/>
        <w:wordWrap/>
        <w:overflowPunct/>
        <w:topLinePunct w:val="0"/>
        <w:bidi w:val="0"/>
        <w:spacing w:line="600" w:lineRule="exact"/>
        <w:ind w:firstLine="643"/>
        <w:outlineLvl w:val="1"/>
        <w:rPr>
          <w:rFonts w:hint="default" w:ascii="Times New Roman" w:hAnsi="Times New Roman" w:eastAsia="方正楷体简体" w:cs="Times New Roman"/>
          <w:b/>
          <w:sz w:val="32"/>
          <w:szCs w:val="32"/>
        </w:rPr>
      </w:pPr>
      <w:r>
        <w:rPr>
          <w:rFonts w:hint="default" w:ascii="Times New Roman" w:hAnsi="Times New Roman" w:eastAsia="方正楷体简体" w:cs="Times New Roman"/>
          <w:b/>
          <w:sz w:val="32"/>
          <w:szCs w:val="32"/>
        </w:rPr>
        <w:t>（一）投资估算</w:t>
      </w:r>
    </w:p>
    <w:p w14:paraId="3DD2F11C">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项目总投资162800.00万元，其中工程建设费用100280.83万元，占总投资的61.60%；工程建设其它费用47654.09万元，占总投资的29.27%；预备费5396.75万元，占总投资的3.31%；建设期利息及债券发行费9468.33万元，占总投资的5.82%。</w:t>
      </w:r>
    </w:p>
    <w:p w14:paraId="751BF813">
      <w:pPr>
        <w:keepNext w:val="0"/>
        <w:keepLines w:val="0"/>
        <w:pageBreakBefore w:val="0"/>
        <w:wordWrap/>
        <w:overflowPunct/>
        <w:topLinePunct w:val="0"/>
        <w:bidi w:val="0"/>
        <w:spacing w:line="600" w:lineRule="exact"/>
        <w:ind w:firstLine="643"/>
        <w:outlineLvl w:val="1"/>
        <w:rPr>
          <w:rFonts w:hint="default" w:ascii="Times New Roman" w:hAnsi="Times New Roman" w:eastAsia="方正楷体简体" w:cs="Times New Roman"/>
          <w:b/>
          <w:sz w:val="32"/>
          <w:szCs w:val="32"/>
        </w:rPr>
      </w:pPr>
      <w:r>
        <w:rPr>
          <w:rFonts w:hint="default" w:ascii="Times New Roman" w:hAnsi="Times New Roman" w:eastAsia="方正楷体简体" w:cs="Times New Roman"/>
          <w:b/>
          <w:sz w:val="32"/>
          <w:szCs w:val="32"/>
        </w:rPr>
        <w:t>（二）资金筹措方案</w:t>
      </w:r>
    </w:p>
    <w:p w14:paraId="0DE42A1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1.资金筹集情况</w:t>
      </w:r>
    </w:p>
    <w:p w14:paraId="6ABE5582">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项目总投资</w:t>
      </w:r>
      <w:r>
        <w:rPr>
          <w:rFonts w:hint="default" w:ascii="Times New Roman" w:hAnsi="Times New Roman" w:eastAsia="方正仿宋简体" w:cs="Times New Roman"/>
          <w:sz w:val="32"/>
          <w:szCs w:val="32"/>
          <w:lang w:val="en-US" w:eastAsia="zh-CN"/>
        </w:rPr>
        <w:t>162800.00万元，其中计划发行专项债券融资100000.00万元，占总投资的61.43%，其中2022年拟发行20000.00万元，2023年拟发行40000.00万元，2024年拟发行30000.00万元，2025年拟发行10000.00万元，债券期限均为15年，债券利率暂按4.00%估算；项目资本金62800.00万元，占总投资的38.57%，资金来源于经开区财政预算资金。</w:t>
      </w:r>
    </w:p>
    <w:p w14:paraId="11308BB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2.资金使用计划</w:t>
      </w:r>
    </w:p>
    <w:p w14:paraId="26D3117F">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本项目为新建项目，建设周期为3</w:t>
      </w:r>
      <w:r>
        <w:rPr>
          <w:rFonts w:hint="default"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个月，计划时间为202</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月-202</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年</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月，（以实际开工日期为准）。</w:t>
      </w: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1367"/>
        <w:gridCol w:w="1315"/>
        <w:gridCol w:w="1816"/>
        <w:gridCol w:w="1226"/>
        <w:gridCol w:w="1227"/>
        <w:gridCol w:w="1231"/>
      </w:tblGrid>
      <w:tr w14:paraId="624A8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7"/>
            <w:tcBorders>
              <w:top w:val="single" w:color="4F81BD" w:sz="8" w:space="0"/>
              <w:left w:val="single" w:color="4F81BD" w:sz="8" w:space="0"/>
              <w:bottom w:val="single" w:color="4F81BD" w:sz="8" w:space="0"/>
              <w:right w:val="dotted" w:color="auto" w:sz="0" w:space="0"/>
            </w:tcBorders>
            <w:shd w:val="clear" w:color="auto" w:fill="4F81BD"/>
            <w:noWrap/>
            <w:vAlign w:val="center"/>
          </w:tcPr>
          <w:p w14:paraId="605AB9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Arial Narrow" w:hAnsi="Arial Narrow" w:eastAsia="Arial Narrow" w:cs="Arial Narrow"/>
                <w:b/>
                <w:bCs/>
                <w:i w:val="0"/>
                <w:iCs w:val="0"/>
                <w:color w:val="FFFFFF"/>
                <w:sz w:val="20"/>
                <w:szCs w:val="20"/>
                <w:u w:val="none"/>
              </w:rPr>
            </w:pPr>
            <w:r>
              <w:rPr>
                <w:rFonts w:ascii="华文仿宋" w:hAnsi="华文仿宋" w:eastAsia="华文仿宋" w:cs="华文仿宋"/>
                <w:b/>
                <w:bCs/>
                <w:i w:val="0"/>
                <w:iCs w:val="0"/>
                <w:color w:val="FFFFFF"/>
                <w:kern w:val="0"/>
                <w:sz w:val="20"/>
                <w:szCs w:val="20"/>
                <w:u w:val="none"/>
                <w:lang w:val="en-US" w:eastAsia="zh-CN" w:bidi="ar"/>
              </w:rPr>
              <w:t>投资进度表</w:t>
            </w:r>
          </w:p>
        </w:tc>
      </w:tr>
      <w:tr w14:paraId="1654F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0" w:space="0"/>
            </w:tcBorders>
            <w:shd w:val="clear" w:color="auto" w:fill="FFFFFF"/>
            <w:noWrap/>
            <w:vAlign w:val="center"/>
          </w:tcPr>
          <w:p w14:paraId="0D046E62">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Arial Narrow" w:hAnsi="Arial Narrow" w:eastAsia="Arial Narrow" w:cs="Arial Narrow"/>
                <w:i w:val="0"/>
                <w:iCs w:val="0"/>
                <w:color w:val="000000"/>
                <w:sz w:val="16"/>
                <w:szCs w:val="16"/>
                <w:u w:val="none"/>
              </w:rPr>
            </w:pPr>
          </w:p>
        </w:tc>
        <w:tc>
          <w:tcPr>
            <w:tcW w:w="773" w:type="pct"/>
            <w:tcBorders>
              <w:top w:val="single" w:color="4F81BD" w:sz="8" w:space="0"/>
              <w:left w:val="dotted" w:color="auto" w:sz="0" w:space="0"/>
              <w:bottom w:val="single" w:color="4F81BD" w:sz="8" w:space="0"/>
              <w:right w:val="dotted" w:color="auto" w:sz="0" w:space="0"/>
            </w:tcBorders>
            <w:shd w:val="clear" w:color="auto" w:fill="FFFFFF"/>
            <w:noWrap/>
            <w:vAlign w:val="center"/>
          </w:tcPr>
          <w:p w14:paraId="45BA19C4">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Arial Narrow" w:hAnsi="Arial Narrow" w:eastAsia="Arial Narrow" w:cs="Arial Narrow"/>
                <w:i w:val="0"/>
                <w:iCs w:val="0"/>
                <w:color w:val="000000"/>
                <w:sz w:val="16"/>
                <w:szCs w:val="16"/>
                <w:u w:val="none"/>
              </w:rPr>
            </w:pPr>
          </w:p>
        </w:tc>
        <w:tc>
          <w:tcPr>
            <w:tcW w:w="744" w:type="pct"/>
            <w:tcBorders>
              <w:top w:val="single" w:color="4F81BD" w:sz="8" w:space="0"/>
              <w:left w:val="dotted" w:color="auto" w:sz="0" w:space="0"/>
              <w:bottom w:val="single" w:color="4F81BD" w:sz="8" w:space="0"/>
              <w:right w:val="dotted" w:color="auto" w:sz="0" w:space="0"/>
            </w:tcBorders>
            <w:shd w:val="clear" w:color="auto" w:fill="FFFFFF"/>
            <w:noWrap/>
            <w:vAlign w:val="center"/>
          </w:tcPr>
          <w:p w14:paraId="58CAD65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Arial Narrow" w:hAnsi="Arial Narrow" w:eastAsia="Arial Narrow" w:cs="Arial Narrow"/>
                <w:i w:val="0"/>
                <w:iCs w:val="0"/>
                <w:color w:val="000000"/>
                <w:sz w:val="16"/>
                <w:szCs w:val="16"/>
                <w:u w:val="none"/>
              </w:rPr>
            </w:pPr>
          </w:p>
        </w:tc>
        <w:tc>
          <w:tcPr>
            <w:tcW w:w="962" w:type="pct"/>
            <w:tcBorders>
              <w:top w:val="single" w:color="4F81BD" w:sz="8" w:space="0"/>
              <w:left w:val="dotted" w:color="auto" w:sz="0" w:space="0"/>
              <w:bottom w:val="single" w:color="4F81BD" w:sz="8" w:space="0"/>
              <w:right w:val="dotted" w:color="auto" w:sz="0" w:space="0"/>
            </w:tcBorders>
            <w:shd w:val="clear" w:color="auto" w:fill="FFFFFF"/>
            <w:noWrap/>
            <w:vAlign w:val="center"/>
          </w:tcPr>
          <w:p w14:paraId="71574B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金额单位：人民币万元</w:t>
            </w:r>
          </w:p>
        </w:tc>
        <w:tc>
          <w:tcPr>
            <w:tcW w:w="694" w:type="pct"/>
            <w:tcBorders>
              <w:top w:val="single" w:color="4F81BD" w:sz="8" w:space="0"/>
              <w:left w:val="dotted" w:color="auto" w:sz="0" w:space="0"/>
              <w:bottom w:val="single" w:color="4F81BD" w:sz="8" w:space="0"/>
              <w:right w:val="dotted" w:color="auto" w:sz="0" w:space="0"/>
            </w:tcBorders>
            <w:shd w:val="clear" w:color="auto" w:fill="FFFFFF"/>
            <w:noWrap/>
            <w:vAlign w:val="center"/>
          </w:tcPr>
          <w:p w14:paraId="11274288">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Arial Narrow" w:hAnsi="Arial Narrow" w:eastAsia="Arial Narrow" w:cs="Arial Narrow"/>
                <w:i w:val="0"/>
                <w:iCs w:val="0"/>
                <w:color w:val="000000"/>
                <w:sz w:val="16"/>
                <w:szCs w:val="16"/>
                <w:u w:val="none"/>
              </w:rPr>
            </w:pPr>
          </w:p>
        </w:tc>
        <w:tc>
          <w:tcPr>
            <w:tcW w:w="694" w:type="pct"/>
            <w:tcBorders>
              <w:top w:val="single" w:color="4F81BD" w:sz="8" w:space="0"/>
              <w:left w:val="dotted" w:color="auto" w:sz="0" w:space="0"/>
              <w:bottom w:val="single" w:color="4F81BD" w:sz="8" w:space="0"/>
              <w:right w:val="dotted" w:color="auto" w:sz="0" w:space="0"/>
            </w:tcBorders>
            <w:shd w:val="clear" w:color="auto" w:fill="FFFFFF"/>
            <w:noWrap/>
            <w:vAlign w:val="center"/>
          </w:tcPr>
          <w:p w14:paraId="343E8217">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Arial Narrow" w:hAnsi="Arial Narrow" w:eastAsia="Arial Narrow" w:cs="Arial Narrow"/>
                <w:i w:val="0"/>
                <w:iCs w:val="0"/>
                <w:color w:val="000000"/>
                <w:sz w:val="16"/>
                <w:szCs w:val="16"/>
                <w:u w:val="none"/>
              </w:rPr>
            </w:pPr>
          </w:p>
        </w:tc>
        <w:tc>
          <w:tcPr>
            <w:tcW w:w="695" w:type="pct"/>
            <w:tcBorders>
              <w:top w:val="single" w:color="4F81BD" w:sz="8" w:space="0"/>
              <w:left w:val="dotted" w:color="auto" w:sz="0" w:space="0"/>
              <w:bottom w:val="single" w:color="4F81BD" w:sz="8" w:space="0"/>
              <w:right w:val="single" w:color="4F81BD" w:sz="8" w:space="0"/>
            </w:tcBorders>
            <w:shd w:val="clear" w:color="auto" w:fill="FFFFFF"/>
            <w:noWrap/>
            <w:vAlign w:val="center"/>
          </w:tcPr>
          <w:p w14:paraId="63610587">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Arial Narrow" w:hAnsi="Arial Narrow" w:eastAsia="Arial Narrow" w:cs="Arial Narrow"/>
                <w:i w:val="0"/>
                <w:iCs w:val="0"/>
                <w:color w:val="000000"/>
                <w:sz w:val="16"/>
                <w:szCs w:val="16"/>
                <w:u w:val="none"/>
              </w:rPr>
            </w:pPr>
          </w:p>
        </w:tc>
      </w:tr>
      <w:tr w14:paraId="1DC21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694803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行次</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A61F8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项目</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A8A7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合计</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9777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16"/>
                <w:szCs w:val="16"/>
                <w:u w:val="none"/>
                <w:lang w:val="en-US" w:eastAsia="zh-CN" w:bidi="ar"/>
              </w:rPr>
              <w:t>2022年</w:t>
            </w:r>
          </w:p>
          <w:p w14:paraId="3D4665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12月</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229A1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2023年</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86C62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2024年</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0613F4A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2025年1-11月</w:t>
            </w:r>
          </w:p>
        </w:tc>
      </w:tr>
      <w:tr w14:paraId="23A8A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3E8BA7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F73D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投资进度</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EA10B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100.00%</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73AA7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4197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9A018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9375BD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20.00%</w:t>
            </w:r>
          </w:p>
        </w:tc>
      </w:tr>
      <w:tr w14:paraId="68669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0E11DF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5C9A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一、投资</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DF8D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7F26E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88658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7EEE1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2B1490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r>
      <w:tr w14:paraId="3778F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52F04F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26CA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（一）建设投资</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C92CE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153,331.67</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6D3B9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32,475.83</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8641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46,490.00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2E88E4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45,345.00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3F07BC5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29,020.83</w:t>
            </w:r>
          </w:p>
        </w:tc>
      </w:tr>
      <w:tr w14:paraId="6CAE1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16952C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C4CAA8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r>
              <w:rPr>
                <w:rFonts w:hint="default" w:ascii="华文仿宋" w:hAnsi="华文仿宋" w:eastAsia="华文仿宋" w:cs="华文仿宋"/>
                <w:i w:val="0"/>
                <w:iCs w:val="0"/>
                <w:color w:val="000000"/>
                <w:kern w:val="0"/>
                <w:sz w:val="16"/>
                <w:szCs w:val="16"/>
                <w:u w:val="none"/>
                <w:lang w:val="en-US" w:eastAsia="zh-CN" w:bidi="ar"/>
              </w:rPr>
              <w:t>、工程费用</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22FF7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100,280.83</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B4C4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21,239.60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73529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30,405.04</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C93A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29,656.20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C4081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18,979.99</w:t>
            </w:r>
          </w:p>
        </w:tc>
      </w:tr>
      <w:tr w14:paraId="7EC30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6635D45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8331B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w:t>
            </w:r>
            <w:r>
              <w:rPr>
                <w:rFonts w:hint="default" w:ascii="Arial Narrow" w:hAnsi="Arial Narrow" w:eastAsia="Arial Narrow" w:cs="Arial Narrow"/>
                <w:i w:val="0"/>
                <w:iCs w:val="0"/>
                <w:color w:val="000000"/>
                <w:kern w:val="0"/>
                <w:sz w:val="16"/>
                <w:szCs w:val="16"/>
                <w:u w:val="none"/>
                <w:lang w:val="en-US" w:eastAsia="zh-CN" w:bidi="ar"/>
              </w:rPr>
              <w:t>1</w:t>
            </w:r>
            <w:r>
              <w:rPr>
                <w:rFonts w:hint="default" w:ascii="华文仿宋" w:hAnsi="华文仿宋" w:eastAsia="华文仿宋" w:cs="华文仿宋"/>
                <w:i w:val="0"/>
                <w:iCs w:val="0"/>
                <w:color w:val="000000"/>
                <w:kern w:val="0"/>
                <w:sz w:val="16"/>
                <w:szCs w:val="16"/>
                <w:u w:val="none"/>
                <w:lang w:val="en-US" w:eastAsia="zh-CN" w:bidi="ar"/>
              </w:rPr>
              <w:t>）建筑安装工程</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F0922C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100,280.83</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049F58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21,239.60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F517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30,405.04</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7952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29,656.20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0D6CFA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18,979.99</w:t>
            </w:r>
          </w:p>
        </w:tc>
      </w:tr>
      <w:tr w14:paraId="54E34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19329BD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D905B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w:t>
            </w:r>
            <w:r>
              <w:rPr>
                <w:rFonts w:hint="default" w:ascii="Arial Narrow" w:hAnsi="Arial Narrow" w:eastAsia="Arial Narrow" w:cs="Arial Narrow"/>
                <w:i w:val="0"/>
                <w:iCs w:val="0"/>
                <w:color w:val="000000"/>
                <w:kern w:val="0"/>
                <w:sz w:val="16"/>
                <w:szCs w:val="16"/>
                <w:u w:val="none"/>
                <w:lang w:val="en-US" w:eastAsia="zh-CN" w:bidi="ar"/>
              </w:rPr>
              <w:t>2</w:t>
            </w:r>
            <w:r>
              <w:rPr>
                <w:rFonts w:hint="default" w:ascii="华文仿宋" w:hAnsi="华文仿宋" w:eastAsia="华文仿宋" w:cs="华文仿宋"/>
                <w:i w:val="0"/>
                <w:iCs w:val="0"/>
                <w:color w:val="000000"/>
                <w:kern w:val="0"/>
                <w:sz w:val="16"/>
                <w:szCs w:val="16"/>
                <w:u w:val="none"/>
                <w:lang w:val="en-US" w:eastAsia="zh-CN" w:bidi="ar"/>
              </w:rPr>
              <w:t>）设备购置</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C62FF4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9E80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D8CCE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A261E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AAFD3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r>
      <w:tr w14:paraId="505A5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359ACB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7</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B49C0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r>
              <w:rPr>
                <w:rFonts w:hint="default" w:ascii="华文仿宋" w:hAnsi="华文仿宋" w:eastAsia="华文仿宋" w:cs="华文仿宋"/>
                <w:i w:val="0"/>
                <w:iCs w:val="0"/>
                <w:color w:val="000000"/>
                <w:kern w:val="0"/>
                <w:sz w:val="16"/>
                <w:szCs w:val="16"/>
                <w:u w:val="none"/>
                <w:lang w:val="en-US" w:eastAsia="zh-CN" w:bidi="ar"/>
              </w:rPr>
              <w:t>、工程建设其他费用</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777397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47,654.09</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EC17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10,093.19</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6AA3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14,448.67</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A0C1B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14,092.81</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31EAB6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9,019.41</w:t>
            </w:r>
          </w:p>
        </w:tc>
      </w:tr>
      <w:tr w14:paraId="18370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7BC2B5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ECDB3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w:t>
            </w:r>
            <w:r>
              <w:rPr>
                <w:rFonts w:hint="default" w:ascii="华文仿宋" w:hAnsi="华文仿宋" w:eastAsia="华文仿宋" w:cs="华文仿宋"/>
                <w:i w:val="0"/>
                <w:iCs w:val="0"/>
                <w:color w:val="000000"/>
                <w:kern w:val="0"/>
                <w:sz w:val="16"/>
                <w:szCs w:val="16"/>
                <w:u w:val="none"/>
                <w:lang w:val="en-US" w:eastAsia="zh-CN" w:bidi="ar"/>
              </w:rPr>
              <w:t>、预备费用</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C54C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5,396.75</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3BB7F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1,143.04</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22A9F7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1,636.29</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5CD0A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1,595.99</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41A29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1,021.43</w:t>
            </w:r>
          </w:p>
        </w:tc>
      </w:tr>
      <w:tr w14:paraId="613AC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37D71CA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9</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A4909E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w:t>
            </w:r>
            <w:r>
              <w:rPr>
                <w:rFonts w:hint="default" w:ascii="华文仿宋" w:hAnsi="华文仿宋" w:eastAsia="华文仿宋" w:cs="华文仿宋"/>
                <w:i w:val="0"/>
                <w:iCs w:val="0"/>
                <w:color w:val="000000"/>
                <w:kern w:val="0"/>
                <w:sz w:val="16"/>
                <w:szCs w:val="16"/>
                <w:u w:val="none"/>
                <w:lang w:val="en-US" w:eastAsia="zh-CN" w:bidi="ar"/>
              </w:rPr>
              <w:t>、土地费用</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D03D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97FFF2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C392C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F905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373A7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r>
      <w:tr w14:paraId="5FCFF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60D42C6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84F1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w:t>
            </w:r>
            <w:r>
              <w:rPr>
                <w:rFonts w:hint="default" w:ascii="华文仿宋" w:hAnsi="华文仿宋" w:eastAsia="华文仿宋" w:cs="华文仿宋"/>
                <w:i w:val="0"/>
                <w:iCs w:val="0"/>
                <w:color w:val="000000"/>
                <w:kern w:val="0"/>
                <w:sz w:val="16"/>
                <w:szCs w:val="16"/>
                <w:u w:val="none"/>
                <w:lang w:val="en-US" w:eastAsia="zh-CN" w:bidi="ar"/>
              </w:rPr>
              <w:t>征地费用</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1B155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B839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E15B5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CE82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379E97C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r>
      <w:tr w14:paraId="5A74C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6646BFE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11</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88848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（二）流动资金</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6240A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07801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07CD2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C8076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C017B1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r>
      <w:tr w14:paraId="6FD3C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47B344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12</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9DA9F9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（三）建设期利息</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C05AA1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9,368.33</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1AE3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64.17</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6B02A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2,310.00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F028C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3,465.00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EB578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3,529.17</w:t>
            </w:r>
          </w:p>
        </w:tc>
      </w:tr>
      <w:tr w14:paraId="02D99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0C215F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13</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B9B2BC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华文仿宋" w:hAnsi="华文仿宋" w:eastAsia="华文仿宋" w:cs="华文仿宋"/>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（四）专项债券发行费用</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C9CA95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100.00</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91778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42E28F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9BAAA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32D681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10.00</w:t>
            </w:r>
          </w:p>
        </w:tc>
      </w:tr>
      <w:tr w14:paraId="36AAF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34A519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14</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B3268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小计（</w:t>
            </w:r>
            <w:r>
              <w:rPr>
                <w:rFonts w:hint="default" w:ascii="Arial Narrow" w:hAnsi="Arial Narrow" w:eastAsia="Arial Narrow" w:cs="Arial Narrow"/>
                <w:i w:val="0"/>
                <w:iCs w:val="0"/>
                <w:color w:val="000000"/>
                <w:kern w:val="0"/>
                <w:sz w:val="16"/>
                <w:szCs w:val="16"/>
                <w:u w:val="none"/>
                <w:lang w:val="en-US" w:eastAsia="zh-CN" w:bidi="ar"/>
              </w:rPr>
              <w:t>3+11+12+13</w:t>
            </w:r>
            <w:r>
              <w:rPr>
                <w:rFonts w:hint="default" w:ascii="华文仿宋" w:hAnsi="华文仿宋" w:eastAsia="华文仿宋" w:cs="华文仿宋"/>
                <w:i w:val="0"/>
                <w:iCs w:val="0"/>
                <w:color w:val="000000"/>
                <w:kern w:val="0"/>
                <w:sz w:val="16"/>
                <w:szCs w:val="16"/>
                <w:u w:val="none"/>
                <w:lang w:val="en-US" w:eastAsia="zh-CN" w:bidi="ar"/>
              </w:rPr>
              <w:t>）</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85D8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162,800.00</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F224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32,560.00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671F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48,840.00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563A1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48,840.00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C0318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32,560.00</w:t>
            </w:r>
          </w:p>
        </w:tc>
      </w:tr>
      <w:tr w14:paraId="45D19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79E4E2C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15</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D365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二、筹资</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FF1FD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A98E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3B97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77C3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0768CE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w:t>
            </w:r>
          </w:p>
        </w:tc>
      </w:tr>
      <w:tr w14:paraId="30F5A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1B8759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7C6B4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华文仿宋" w:hAnsi="华文仿宋" w:eastAsia="华文仿宋" w:cs="华文仿宋"/>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（一）自筹资本金</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9C6A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62,800.00</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738971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12,560.00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F9F9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8,840.00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962BC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18,840.00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42E7B6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22,560.00</w:t>
            </w:r>
          </w:p>
        </w:tc>
      </w:tr>
      <w:tr w14:paraId="1ACC6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2306770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17</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3E1D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华文仿宋" w:hAnsi="华文仿宋" w:eastAsia="华文仿宋" w:cs="华文仿宋"/>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（二）发行专项债券资本金</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D0324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100,000.00</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EB88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20,000.00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24ED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40,000.00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5C85E8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30,000.00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BA4F4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10,000.00</w:t>
            </w:r>
          </w:p>
        </w:tc>
      </w:tr>
      <w:tr w14:paraId="44B15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7" w:type="pct"/>
            <w:tcBorders>
              <w:top w:val="single" w:color="4F81BD" w:sz="8" w:space="0"/>
              <w:left w:val="single" w:color="4F81BD" w:sz="8" w:space="0"/>
              <w:bottom w:val="single" w:color="4F81BD" w:sz="8" w:space="0"/>
              <w:right w:val="dotted" w:color="auto" w:sz="4" w:space="0"/>
            </w:tcBorders>
            <w:shd w:val="clear" w:color="auto" w:fill="FFFFFF"/>
            <w:noWrap/>
            <w:vAlign w:val="center"/>
          </w:tcPr>
          <w:p w14:paraId="24F5F0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18</w:t>
            </w:r>
          </w:p>
        </w:tc>
        <w:tc>
          <w:tcPr>
            <w:tcW w:w="773"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01CBA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华文仿宋" w:hAnsi="华文仿宋" w:eastAsia="华文仿宋" w:cs="华文仿宋"/>
                <w:i w:val="0"/>
                <w:iCs w:val="0"/>
                <w:color w:val="000000"/>
                <w:kern w:val="0"/>
                <w:sz w:val="16"/>
                <w:szCs w:val="16"/>
                <w:u w:val="none"/>
                <w:lang w:val="en-US" w:eastAsia="zh-CN" w:bidi="ar"/>
              </w:rPr>
              <w:t>小计</w:t>
            </w:r>
            <w:r>
              <w:rPr>
                <w:rFonts w:hint="default" w:ascii="Arial Narrow" w:hAnsi="Arial Narrow" w:eastAsia="Arial Narrow" w:cs="Arial Narrow"/>
                <w:i w:val="0"/>
                <w:iCs w:val="0"/>
                <w:color w:val="000000"/>
                <w:kern w:val="0"/>
                <w:sz w:val="16"/>
                <w:szCs w:val="16"/>
                <w:u w:val="none"/>
                <w:lang w:val="en-US" w:eastAsia="zh-CN" w:bidi="ar"/>
              </w:rPr>
              <w:t>（16+1</w:t>
            </w:r>
            <w:r>
              <w:rPr>
                <w:rFonts w:hint="default" w:ascii="华文仿宋" w:hAnsi="华文仿宋" w:eastAsia="华文仿宋" w:cs="华文仿宋"/>
                <w:i w:val="0"/>
                <w:iCs w:val="0"/>
                <w:color w:val="000000"/>
                <w:kern w:val="0"/>
                <w:sz w:val="16"/>
                <w:szCs w:val="16"/>
                <w:u w:val="none"/>
                <w:lang w:val="en-US" w:eastAsia="zh-CN" w:bidi="ar"/>
              </w:rPr>
              <w:t>7）</w:t>
            </w:r>
          </w:p>
        </w:tc>
        <w:tc>
          <w:tcPr>
            <w:tcW w:w="74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25B77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162,800.00</w:t>
            </w:r>
          </w:p>
        </w:tc>
        <w:tc>
          <w:tcPr>
            <w:tcW w:w="96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BC16C4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32,560.00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A4DF3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48,840.00</w:t>
            </w:r>
          </w:p>
        </w:tc>
        <w:tc>
          <w:tcPr>
            <w:tcW w:w="694"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BFC2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48,840.00</w:t>
            </w:r>
          </w:p>
        </w:tc>
        <w:tc>
          <w:tcPr>
            <w:tcW w:w="69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AB89E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32,560.00</w:t>
            </w:r>
          </w:p>
        </w:tc>
      </w:tr>
    </w:tbl>
    <w:p w14:paraId="1D033BE9">
      <w:pPr>
        <w:bidi w:val="0"/>
        <w:ind w:left="0" w:leftChars="0" w:firstLine="0" w:firstLineChars="0"/>
        <w:rPr>
          <w:rFonts w:hint="default"/>
        </w:rPr>
      </w:pPr>
    </w:p>
    <w:p w14:paraId="1766DCEB">
      <w:pPr>
        <w:keepNext w:val="0"/>
        <w:keepLines w:val="0"/>
        <w:pageBreakBefore w:val="0"/>
        <w:wordWrap/>
        <w:overflowPunct/>
        <w:topLinePunct w:val="0"/>
        <w:bidi w:val="0"/>
        <w:snapToGrid w:val="0"/>
        <w:spacing w:line="600" w:lineRule="exact"/>
        <w:ind w:firstLine="643"/>
        <w:outlineLvl w:val="0"/>
        <w:rPr>
          <w:rFonts w:hint="eastAsia" w:ascii="方正黑体简体" w:hAnsi="方正黑体简体" w:eastAsia="方正黑体简体" w:cs="方正黑体简体"/>
          <w:b w:val="0"/>
          <w:bCs w:val="0"/>
          <w:sz w:val="28"/>
          <w:szCs w:val="28"/>
        </w:rPr>
      </w:pPr>
      <w:r>
        <w:rPr>
          <w:rFonts w:hint="eastAsia" w:ascii="方正黑体简体" w:hAnsi="方正黑体简体" w:eastAsia="方正黑体简体" w:cs="方正黑体简体"/>
          <w:b w:val="0"/>
          <w:bCs w:val="0"/>
          <w:sz w:val="28"/>
          <w:szCs w:val="28"/>
        </w:rPr>
        <w:t>四、项目预期收益、成本及融资平衡情况</w:t>
      </w:r>
    </w:p>
    <w:p w14:paraId="47770DE8">
      <w:pPr>
        <w:keepNext w:val="0"/>
        <w:keepLines w:val="0"/>
        <w:pageBreakBefore w:val="0"/>
        <w:wordWrap/>
        <w:overflowPunct/>
        <w:topLinePunct w:val="0"/>
        <w:bidi w:val="0"/>
        <w:spacing w:line="600" w:lineRule="exact"/>
        <w:ind w:firstLine="643"/>
        <w:outlineLvl w:val="1"/>
        <w:rPr>
          <w:rFonts w:hint="eastAsia" w:ascii="方正楷体简体" w:hAnsi="方正楷体简体" w:eastAsia="方正楷体简体" w:cs="方正楷体简体"/>
          <w:b/>
          <w:sz w:val="28"/>
          <w:szCs w:val="28"/>
        </w:rPr>
      </w:pPr>
      <w:r>
        <w:rPr>
          <w:rFonts w:hint="eastAsia" w:ascii="方正楷体简体" w:hAnsi="方正楷体简体" w:eastAsia="方正楷体简体" w:cs="方正楷体简体"/>
          <w:b/>
          <w:sz w:val="28"/>
          <w:szCs w:val="28"/>
        </w:rPr>
        <w:t>（一）预期收益</w:t>
      </w:r>
    </w:p>
    <w:p w14:paraId="3610D02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1.项目收入</w:t>
      </w:r>
    </w:p>
    <w:p w14:paraId="7EC69459">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zh-CN" w:eastAsia="zh-CN"/>
        </w:rPr>
      </w:pPr>
      <w:r>
        <w:rPr>
          <w:rFonts w:hint="default" w:ascii="Times New Roman" w:hAnsi="Times New Roman" w:eastAsia="方正仿宋简体" w:cs="Times New Roman"/>
          <w:sz w:val="32"/>
          <w:szCs w:val="32"/>
          <w:lang w:val="zh-CN"/>
        </w:rPr>
        <w:t>本项目测算的收入主要</w:t>
      </w:r>
      <w:r>
        <w:rPr>
          <w:rFonts w:hint="default" w:ascii="Times New Roman" w:hAnsi="Times New Roman" w:eastAsia="方正仿宋简体" w:cs="Times New Roman"/>
          <w:sz w:val="32"/>
          <w:szCs w:val="32"/>
          <w:lang w:val="en-US" w:eastAsia="zh-CN"/>
        </w:rPr>
        <w:t>包括地面生态停车场出租收入，配套商业用房出租收入，文体娱乐设施经营收入、游览电瓶车出租收入、充电桩服务收入、广告牌收入等。</w:t>
      </w:r>
      <w:r>
        <w:rPr>
          <w:rFonts w:hint="default" w:ascii="Times New Roman" w:hAnsi="Times New Roman" w:eastAsia="方正仿宋简体" w:cs="Times New Roman"/>
          <w:sz w:val="32"/>
          <w:szCs w:val="32"/>
          <w:lang w:val="zh-CN"/>
        </w:rPr>
        <w:t>在债券存续期内</w:t>
      </w:r>
      <w:r>
        <w:rPr>
          <w:rFonts w:hint="default" w:ascii="Times New Roman" w:hAnsi="Times New Roman" w:eastAsia="方正仿宋简体" w:cs="Times New Roman"/>
          <w:sz w:val="32"/>
          <w:szCs w:val="32"/>
          <w:lang w:val="en-US" w:eastAsia="zh-CN"/>
        </w:rPr>
        <w:t>本项目运营期间总收入（含税）为 216,055.71 万元</w:t>
      </w:r>
      <w:r>
        <w:rPr>
          <w:rFonts w:hint="default" w:ascii="Times New Roman" w:hAnsi="Times New Roman" w:eastAsia="方正仿宋简体" w:cs="Times New Roman"/>
          <w:sz w:val="32"/>
          <w:szCs w:val="32"/>
          <w:lang w:val="zh-CN" w:eastAsia="zh-CN"/>
        </w:rPr>
        <w:t>。</w:t>
      </w:r>
    </w:p>
    <w:p w14:paraId="02EAB5B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2.项目成本</w:t>
      </w:r>
    </w:p>
    <w:p w14:paraId="4F360C51">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项目成本主要包括</w:t>
      </w:r>
      <w:r>
        <w:rPr>
          <w:rFonts w:hint="default" w:ascii="Times New Roman" w:hAnsi="Times New Roman" w:eastAsia="方正仿宋简体" w:cs="Times New Roman"/>
          <w:sz w:val="32"/>
          <w:szCs w:val="32"/>
          <w:lang w:val="en-US" w:eastAsia="zh-CN"/>
        </w:rPr>
        <w:t>职工工资及福利费、外购燃料及动力费</w:t>
      </w:r>
      <w:r>
        <w:rPr>
          <w:rFonts w:hint="eastAsia" w:ascii="Times New Roman" w:hAnsi="Times New Roman" w:eastAsia="方正仿宋简体" w:cs="Times New Roman"/>
          <w:sz w:val="32"/>
          <w:szCs w:val="32"/>
          <w:lang w:val="en-US" w:eastAsia="zh-CN"/>
        </w:rPr>
        <w:t>、维护和维修费用、其他费用、充电桩管理费</w:t>
      </w:r>
      <w:r>
        <w:rPr>
          <w:rFonts w:hint="default" w:ascii="Times New Roman" w:hAnsi="Times New Roman" w:eastAsia="方正仿宋简体" w:cs="Times New Roman"/>
          <w:sz w:val="32"/>
          <w:szCs w:val="32"/>
          <w:lang w:val="en-US" w:eastAsia="zh-CN"/>
        </w:rPr>
        <w:t>等</w:t>
      </w: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本项目运营期间本项目运营期间总成本为22,078.92万元（含税）</w:t>
      </w:r>
      <w:r>
        <w:rPr>
          <w:rFonts w:hint="default" w:ascii="Times New Roman" w:hAnsi="Times New Roman" w:eastAsia="方正仿宋简体" w:cs="Times New Roman"/>
          <w:sz w:val="32"/>
          <w:szCs w:val="32"/>
        </w:rPr>
        <w:t>。</w:t>
      </w:r>
    </w:p>
    <w:p w14:paraId="6E015C84">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3.项目损益</w:t>
      </w:r>
    </w:p>
    <w:p w14:paraId="32EA870F">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根据《中华人民共和国企业所得税法》第十八条：企业纳税年度发生的亏损，专准予向以后年度结属转，用以后年度的所得弥补，但结转年限最长不得超过五年。本项目中所得税按25%计算。</w:t>
      </w:r>
      <w:r>
        <w:rPr>
          <w:rFonts w:hint="default" w:ascii="Times New Roman" w:hAnsi="Times New Roman" w:eastAsia="方正仿宋简体" w:cs="Times New Roman"/>
          <w:sz w:val="32"/>
          <w:szCs w:val="32"/>
        </w:rPr>
        <w:t>项</w:t>
      </w:r>
      <w:r>
        <w:rPr>
          <w:rFonts w:hint="default" w:ascii="Times New Roman" w:hAnsi="Times New Roman" w:eastAsia="方正仿宋简体" w:cs="Times New Roman"/>
          <w:sz w:val="32"/>
          <w:szCs w:val="32"/>
          <w:lang w:val="en-US" w:eastAsia="zh-CN"/>
        </w:rPr>
        <w:t>本项目在债券存续期内项目总收入估算结果为216,055.71万元（含税），现金净流入180,778.73 万元，项目有一定盈利，能够维持运营和发展需要。</w:t>
      </w:r>
    </w:p>
    <w:p w14:paraId="5BA8CF81">
      <w:pPr>
        <w:keepNext w:val="0"/>
        <w:keepLines w:val="0"/>
        <w:pageBreakBefore w:val="0"/>
        <w:wordWrap/>
        <w:overflowPunct/>
        <w:topLinePunct w:val="0"/>
        <w:bidi w:val="0"/>
        <w:spacing w:line="600" w:lineRule="exact"/>
        <w:ind w:firstLine="643"/>
        <w:outlineLvl w:val="1"/>
        <w:rPr>
          <w:rFonts w:hint="default" w:ascii="Times New Roman" w:hAnsi="Times New Roman" w:eastAsia="方正楷体简体" w:cs="Times New Roman"/>
          <w:b/>
          <w:sz w:val="28"/>
          <w:szCs w:val="28"/>
          <w:lang w:val="en-GB"/>
        </w:rPr>
      </w:pPr>
      <w:r>
        <w:rPr>
          <w:rFonts w:hint="default" w:ascii="Times New Roman" w:hAnsi="Times New Roman" w:eastAsia="方正楷体简体" w:cs="Times New Roman"/>
          <w:b/>
          <w:sz w:val="28"/>
          <w:szCs w:val="28"/>
        </w:rPr>
        <w:t>（二）资金测算平衡情况</w:t>
      </w:r>
    </w:p>
    <w:p w14:paraId="41EF57C1">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.专项债券融资资金测算平衡情况</w:t>
      </w:r>
    </w:p>
    <w:p w14:paraId="63C67685">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本项目经营期产生的其他经营性专项净收入纳入政府性基金预算管理，合计现金流量</w:t>
      </w:r>
      <w:r>
        <w:rPr>
          <w:rFonts w:hint="default" w:ascii="Times New Roman" w:hAnsi="Times New Roman" w:eastAsia="方正仿宋简体" w:cs="Times New Roman"/>
          <w:sz w:val="32"/>
          <w:szCs w:val="32"/>
          <w:lang w:val="en-US" w:eastAsia="zh-CN"/>
        </w:rPr>
        <w:t>180,778.73万元</w:t>
      </w:r>
      <w:r>
        <w:rPr>
          <w:rFonts w:hint="default" w:ascii="Times New Roman" w:hAnsi="Times New Roman" w:eastAsia="方正仿宋简体" w:cs="Times New Roman"/>
          <w:sz w:val="32"/>
          <w:szCs w:val="32"/>
        </w:rPr>
        <w:t>，缴入专项债偿债资金专户用于偿还专项债本息。经测算，偿债覆盖倍数为1.2</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倍，该部分收益足以覆盖还本付息，且有盈余，项目偿债能力较强。</w:t>
      </w:r>
    </w:p>
    <w:p w14:paraId="5A8E0962">
      <w:pP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br w:type="page"/>
      </w:r>
    </w:p>
    <w:p w14:paraId="7C58C0EB">
      <w:pPr>
        <w:pStyle w:val="2"/>
        <w:rPr>
          <w:rFonts w:hint="default"/>
        </w:rPr>
        <w:sectPr>
          <w:footerReference r:id="rId6" w:type="default"/>
          <w:pgSz w:w="11906" w:h="16838"/>
          <w:pgMar w:top="2098" w:right="1587" w:bottom="1588" w:left="1587" w:header="851" w:footer="992" w:gutter="0"/>
          <w:pgNumType w:fmt="numberInDash" w:start="1"/>
          <w:cols w:space="720" w:num="1"/>
          <w:docGrid w:type="lines" w:linePitch="435" w:charSpace="0"/>
        </w:sectPr>
      </w:pP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4"/>
        <w:gridCol w:w="713"/>
        <w:gridCol w:w="643"/>
        <w:gridCol w:w="643"/>
        <w:gridCol w:w="599"/>
        <w:gridCol w:w="599"/>
        <w:gridCol w:w="599"/>
        <w:gridCol w:w="599"/>
        <w:gridCol w:w="569"/>
        <w:gridCol w:w="569"/>
        <w:gridCol w:w="569"/>
        <w:gridCol w:w="569"/>
        <w:gridCol w:w="569"/>
        <w:gridCol w:w="569"/>
        <w:gridCol w:w="569"/>
        <w:gridCol w:w="569"/>
        <w:gridCol w:w="569"/>
        <w:gridCol w:w="569"/>
        <w:gridCol w:w="569"/>
        <w:gridCol w:w="613"/>
        <w:gridCol w:w="599"/>
        <w:gridCol w:w="599"/>
        <w:gridCol w:w="599"/>
      </w:tblGrid>
      <w:tr w14:paraId="4AAF1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5000" w:type="pct"/>
            <w:gridSpan w:val="23"/>
            <w:tcBorders>
              <w:top w:val="single" w:color="4F81BD" w:sz="8" w:space="0"/>
              <w:left w:val="single" w:color="4F81BD" w:sz="8" w:space="0"/>
              <w:bottom w:val="single" w:color="4F81BD" w:sz="8" w:space="0"/>
              <w:right w:val="dotted" w:color="auto" w:sz="0" w:space="0"/>
            </w:tcBorders>
            <w:shd w:val="clear" w:color="auto" w:fill="4F81BD"/>
            <w:noWrap/>
            <w:vAlign w:val="center"/>
          </w:tcPr>
          <w:p w14:paraId="7521846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ascii="华文仿宋" w:hAnsi="华文仿宋" w:eastAsia="华文仿宋" w:cs="华文仿宋"/>
                <w:b/>
                <w:bCs/>
                <w:i w:val="0"/>
                <w:iCs w:val="0"/>
                <w:color w:val="FFFFFF"/>
                <w:sz w:val="20"/>
                <w:szCs w:val="20"/>
                <w:u w:val="none"/>
              </w:rPr>
            </w:pPr>
            <w:r>
              <w:rPr>
                <w:rFonts w:hint="eastAsia" w:ascii="华文仿宋" w:hAnsi="华文仿宋" w:eastAsia="华文仿宋" w:cs="华文仿宋"/>
                <w:b/>
                <w:bCs/>
                <w:i w:val="0"/>
                <w:iCs w:val="0"/>
                <w:color w:val="FFFFFF"/>
                <w:kern w:val="0"/>
                <w:sz w:val="20"/>
                <w:szCs w:val="20"/>
                <w:u w:val="none"/>
                <w:lang w:val="en-US" w:eastAsia="zh-CN" w:bidi="ar"/>
              </w:rPr>
              <w:t>资金测算平衡情况表</w:t>
            </w:r>
          </w:p>
        </w:tc>
      </w:tr>
      <w:tr w14:paraId="1A6B7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5000" w:type="pct"/>
            <w:gridSpan w:val="23"/>
            <w:tcBorders>
              <w:top w:val="single" w:color="4F81BD" w:sz="8" w:space="0"/>
              <w:left w:val="single" w:color="4F81BD" w:sz="8" w:space="0"/>
              <w:bottom w:val="single" w:color="4F81BD" w:sz="8" w:space="0"/>
              <w:right w:val="dotted" w:color="auto" w:sz="0" w:space="0"/>
            </w:tcBorders>
            <w:shd w:val="clear" w:color="auto" w:fill="FFFFFF"/>
            <w:noWrap/>
            <w:vAlign w:val="center"/>
          </w:tcPr>
          <w:p w14:paraId="29802D3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金额单位：人民币万元 </w:t>
            </w:r>
          </w:p>
        </w:tc>
      </w:tr>
      <w:tr w14:paraId="63EA5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vMerge w:val="restar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046BE86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行次</w:t>
            </w:r>
          </w:p>
        </w:tc>
        <w:tc>
          <w:tcPr>
            <w:tcW w:w="498"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40CAA0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项目</w:t>
            </w:r>
          </w:p>
        </w:tc>
        <w:tc>
          <w:tcPr>
            <w:tcW w:w="461" w:type="pct"/>
            <w:gridSpan w:val="2"/>
            <w:tcBorders>
              <w:top w:val="single" w:color="4F81BD" w:sz="8" w:space="0"/>
              <w:left w:val="dotted" w:color="auto" w:sz="0" w:space="0"/>
              <w:bottom w:val="single" w:color="4F81BD" w:sz="8" w:space="0"/>
              <w:right w:val="dotted" w:color="auto" w:sz="4" w:space="0"/>
            </w:tcBorders>
            <w:shd w:val="clear" w:color="auto" w:fill="FFFFFF"/>
            <w:noWrap w:val="0"/>
            <w:vAlign w:val="center"/>
          </w:tcPr>
          <w:p w14:paraId="5E95136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 xml:space="preserve"> 合计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C0294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kern w:val="0"/>
                <w:sz w:val="16"/>
                <w:szCs w:val="16"/>
                <w:u w:val="none"/>
                <w:lang w:val="en-US" w:eastAsia="zh-CN" w:bidi="ar"/>
              </w:rPr>
            </w:pPr>
            <w:r>
              <w:rPr>
                <w:rFonts w:hint="default" w:ascii="Arial Narrow" w:hAnsi="Arial Narrow" w:eastAsia="Arial Narrow" w:cs="Arial Narrow"/>
                <w:i w:val="0"/>
                <w:iCs w:val="0"/>
                <w:color w:val="000000"/>
                <w:kern w:val="0"/>
                <w:sz w:val="16"/>
                <w:szCs w:val="16"/>
                <w:u w:val="none"/>
                <w:lang w:val="en-US" w:eastAsia="zh-CN" w:bidi="ar"/>
              </w:rPr>
              <w:t xml:space="preserve"> 2022年</w:t>
            </w:r>
          </w:p>
          <w:p w14:paraId="4119F78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12月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A2413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2023年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98E39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2024年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FB6B49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2025年1-11月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4A83F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45,992.00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5D951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2026年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F75F1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2027年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40181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2028年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E2B8A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2029年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F919F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2030年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3F9783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2031年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2672C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2032年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8E240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2033年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248A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2034年 </w:t>
            </w:r>
          </w:p>
        </w:tc>
        <w:tc>
          <w:tcPr>
            <w:tcW w:w="201"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D4F95C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2035年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6069E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2036年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CF93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2037年 </w:t>
            </w:r>
          </w:p>
        </w:tc>
        <w:tc>
          <w:tcPr>
            <w:tcW w:w="202"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9D715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2038年 </w:t>
            </w:r>
          </w:p>
        </w:tc>
        <w:tc>
          <w:tcPr>
            <w:tcW w:w="205" w:type="pct"/>
            <w:vMerge w:val="restar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78BF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2039年 </w:t>
            </w:r>
          </w:p>
        </w:tc>
      </w:tr>
      <w:tr w14:paraId="6767F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vMerge w:val="continue"/>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2B80A76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498"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50214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4E1A3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建设期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0014CB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运营期 </w:t>
            </w: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767D93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7E80F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55D1C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36822D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2FC5F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73455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731A8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A7E49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9CED5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1E5878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1B0AC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A25BE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19BEF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B4C258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9A5B43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5B16B1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EE72F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vMerge w:val="continue"/>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DD3687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vMerge w:val="continue"/>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A4DDC8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2921E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075101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A2CCD5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经营活动产生的现金净流量</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E482A5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8293B8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180,778.73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11F567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968F9B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17DCF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BEAFC9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65B6DF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812.61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529A7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10,533.94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D1F41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11,292.09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3C8C3F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12,264.88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172746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13,034.96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C069E1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13,456.31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F09B1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13,563.79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66B0D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13,574.00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738300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13,584.21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CD9BF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13,773.02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1811C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13,773.02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2291F5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13,773.02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B5E42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13,468.48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C35C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12,081.58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062F79A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11,792.83 </w:t>
            </w:r>
          </w:p>
        </w:tc>
      </w:tr>
      <w:tr w14:paraId="49A18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305BA69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9ADDE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一、经营活动产生的现金流入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238F2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451C7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216,055.71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770C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6FD0E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D7EA2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886C2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0C17B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948.43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6F5EC5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12,202.13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E3D4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12,996.93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8C12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14,035.65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FE9A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14,844.01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2349E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15,566.14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03B3FD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15,953.62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E5AF2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15,967.25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2748E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15,980.89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F10FA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16,260.11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16098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16,260.11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EF30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16,260.11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33906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16,260.11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66380A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16,260.11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308257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16,260.11 </w:t>
            </w:r>
          </w:p>
        </w:tc>
      </w:tr>
      <w:tr w14:paraId="6A531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C2B0FB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CC023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（一）经营收入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E0A073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F7FAE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201,068.56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D1D3B2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31041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57FBC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1E8DB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4F22D9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882.18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D5EAD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11,349.02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8DC2C2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12,088.40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F3F118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13,057.87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0A94E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13,810.03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DA7E96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14,484.30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2BAEB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14,847.03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EB0E2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14,859.89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033287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14,872.76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CEC23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15,136.18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AF3EB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15,136.18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22FD3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15,136.18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C2541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15,136.18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15354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15,136.18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43D471F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15,136.18 </w:t>
            </w:r>
          </w:p>
        </w:tc>
      </w:tr>
      <w:tr w14:paraId="26409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1DD3D2D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AB9EF4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1、地面生态停车场出租收入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007621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115003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5,853.55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6B7B80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E6370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9FE15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6AAEE9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11ABD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26.01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D336D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334.40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CE386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356.70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C506A0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378.99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9C6AE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401.28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81E25F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423.58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03AA8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C83C7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D6ED4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CD4F3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A0883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B64AC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419BFB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25D44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098D736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436.95 </w:t>
            </w:r>
          </w:p>
        </w:tc>
      </w:tr>
      <w:tr w14:paraId="1D054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024ED53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BE537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2、配套商业用房出租收入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04A71E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C859E0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33,560.36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C90870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DDC3D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E064D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8FF50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CC4CB7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149.12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A9CBBB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1,917.25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0D42C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2,045.06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17A6FC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2,172.88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ADB584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2,300.70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33F0FE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2,428.51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731CDD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2076A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8F0FE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5C243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A5EE4A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0147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105F5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2C5A5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321B61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2,505.20 </w:t>
            </w:r>
          </w:p>
        </w:tc>
      </w:tr>
      <w:tr w14:paraId="65913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1B2EEF5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7</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DBF95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3、文体娱乐设施经营收入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1B07CF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172441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114,074.40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74B55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262E6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28C79B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EA524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3E511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518.51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3771CD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6,652.63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5AA15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7,088.13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D3807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7,523.64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4555F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7,959.14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EDE0E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8,394.65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86EC4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8,407.51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6F5F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8,420.37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BD9A8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8,433.24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1BD80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8,446.10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90298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8,446.10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A6F5F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8,446.10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AB3BE7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8,446.10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AB8510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8,446.10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DBD789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8,446.10 </w:t>
            </w:r>
          </w:p>
        </w:tc>
      </w:tr>
      <w:tr w14:paraId="060B8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656F1E3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8</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A52355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4、电瓶车租赁收入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B15C6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3F7E9B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23,131.59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D24A9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DD7631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2A42CF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D6520E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8DD85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107.52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8E556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1,395.40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CC840E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1,482.61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2B115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1,569.82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C17C6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1,657.04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B48C4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DA8BE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7B345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D9559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2D8B32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50179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3F078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D611F1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46C7C2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4D527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1,691.92 </w:t>
            </w:r>
          </w:p>
        </w:tc>
      </w:tr>
      <w:tr w14:paraId="374B8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7C5AB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9</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7D580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5、充电桩收入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C0993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80D0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20,401.76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15887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5F65A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23D13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A2340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9B528C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63.04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083DC3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818.15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6379F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869.29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13AE2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1,150.52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79808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1,214.44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0CFB3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1,252.79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1EDC1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1,503.35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ADA14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1,503.35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DECFD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1,503.35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337A4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645251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7E51E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A3640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81E18E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1,753.91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22A465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1,753.91 </w:t>
            </w:r>
          </w:p>
        </w:tc>
      </w:tr>
      <w:tr w14:paraId="2CE2C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60E018A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10</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89214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6、广告牌收入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7FD84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448E5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4,046.90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62FCB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C4713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03DA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E941E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5D638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17.98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3D40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231.19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4789D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246.61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13E53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262.02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CE253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277.43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709E4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292.84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AD4C69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6B13A5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8BB3E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F4EC67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90DAA6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150B7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503EC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7EBFF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3902A2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302.09 </w:t>
            </w:r>
          </w:p>
        </w:tc>
      </w:tr>
      <w:tr w14:paraId="78835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DD792D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14</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25D28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eastAsia" w:ascii="华文仿宋" w:hAnsi="华文仿宋" w:eastAsia="华文仿宋" w:cs="华文仿宋"/>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（二）收到的税费</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777809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E77C3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14,987.15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52BB1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16B51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B06D3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9A68AA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D48574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66.25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B0BC0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853.10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2E624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908.54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758ED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977.78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7352C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1,033.98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F3278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1,081.84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8C76E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1,106.58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678B75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1,107.36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57C7A1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1,108.13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587F7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57901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FE6CEA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0D36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9D38A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267E06F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r>
      <w:tr w14:paraId="2039A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360973B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15</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00627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r>
              <w:rPr>
                <w:rFonts w:hint="eastAsia" w:ascii="华文仿宋" w:hAnsi="华文仿宋" w:eastAsia="华文仿宋" w:cs="华文仿宋"/>
                <w:i w:val="0"/>
                <w:iCs w:val="0"/>
                <w:color w:val="000000"/>
                <w:kern w:val="0"/>
                <w:sz w:val="16"/>
                <w:szCs w:val="16"/>
                <w:u w:val="none"/>
                <w:lang w:val="en-US" w:eastAsia="zh-CN" w:bidi="ar"/>
              </w:rPr>
              <w:t>、增值税</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40DE1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B36EDD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14,987.15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B943D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C22E2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907AFE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89DDC6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38BAF9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66.25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D4456E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853.10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33098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908.54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2604A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977.78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5F1D4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1,033.98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9A3D2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1,081.84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2A54B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1,106.58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614A08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1,107.36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FE2A4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1,108.13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4FC47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225BA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6759F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F6C4A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81705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1F5639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r>
      <w:tr w14:paraId="1547C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71CD4A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C859A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二、经营活动产生的现金流出</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0A46E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7EA583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35,276.98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66182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A9DB46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16E37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58634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A1C4C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135.82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B1FBD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1,668.19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2C08D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1,704.84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81732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1,770.77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3896CF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1,809.05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7AA4E1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2,109.83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E4DF81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2,389.83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ED2F4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2,393.25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9D343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2,396.67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9A322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2,487.09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915BA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2,487.09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3BBE7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2,487.09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1804AD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2,791.63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E79E3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4,178.53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CFE2F6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4,467.28 </w:t>
            </w:r>
          </w:p>
        </w:tc>
      </w:tr>
      <w:tr w14:paraId="56F50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C610E1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17</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E6287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（一）经营成本</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9BEF7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6D8A5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20,683.33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433D58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9231B5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AB86B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02377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F380E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110.39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E1CAC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1,346.36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8B2637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1,366.47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C58AB4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1,414.19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5DA90D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1,435.84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72E60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1,453.30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28EED1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1,485.66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52A1C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1,485.92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5B9AE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1,486.18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EEB4DC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1,516.50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AD79C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1,516.50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A3C3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1,516.50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1D225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1,516.50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17E2C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1,516.50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2A15FB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1,516.50 </w:t>
            </w:r>
          </w:p>
        </w:tc>
      </w:tr>
      <w:tr w14:paraId="11135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2B7F21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18</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7A75E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1、燃料及动力费</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E8AC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3D17D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3,427.36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B087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80426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1E10A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32EB2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08969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20.28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258EF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B2775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17179F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BAB43C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D6572E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23A0B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7576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C1550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32497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7FAEB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27788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551DA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7D668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7AA841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243.36 </w:t>
            </w:r>
          </w:p>
        </w:tc>
      </w:tr>
      <w:tr w14:paraId="15B69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714796A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19</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85169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2、人员工资福利费</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94EDB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946E13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6,654.38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368DEC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8237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17C00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A3F1D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31D0C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39.38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7A83C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60780A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A69B6E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8D6CE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727499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ADBD2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A7306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3BF1E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B4382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3E409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AFD57D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8E9FDB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187828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20954C2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472.50 </w:t>
            </w:r>
          </w:p>
        </w:tc>
      </w:tr>
      <w:tr w14:paraId="7C0F0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3DA453F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20</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AF4E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3、维修费用</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7061D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8BA07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4,484.89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9574E5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02041E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0CA750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0C0CE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C3EAF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26.54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BA11F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587D7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EFCCC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735DF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A0B7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184F6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255BE0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9AB14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5AA240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E156FE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5204A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2ED3F1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4005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2F6791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318.45 </w:t>
            </w:r>
          </w:p>
        </w:tc>
      </w:tr>
      <w:tr w14:paraId="3C1D7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877106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5DF29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4、其他费用</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A13F0C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7398E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4,076.52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E3CC2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A428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AF07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AC354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960A81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17.89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040B07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230.23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20C4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245.23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FEAF29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264.82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6A56DF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280.08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D735D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293.70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DF7D8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301.01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DA984D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301.27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05391E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301.53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5183F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306.79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09E0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306.79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C614B3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306.79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68A31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306.79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D0A529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306.79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4EC3C2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306.79 </w:t>
            </w:r>
          </w:p>
        </w:tc>
      </w:tr>
      <w:tr w14:paraId="43168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6007807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22</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ACE2B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5、充电桩管理费用</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A7CD2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0F524F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2,040.18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30C9A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2DEEA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802A1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0E454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31977C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6.30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FA217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81.82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3D93E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86.93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A542C4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115.05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59B8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121.44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39390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125.28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9896CC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150.34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25B4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150.34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BE573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150.34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5FC4E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5A60A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2128AB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212EF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292D3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EA1248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175.39 </w:t>
            </w:r>
          </w:p>
        </w:tc>
      </w:tr>
      <w:tr w14:paraId="0A506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232EF54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28</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C43191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（二）支付的各项税费</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87AB9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AA619B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14,593.65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23D52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A04250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09DBD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07B47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61EB2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25.43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84AF9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321.83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15472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338.37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A074F9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356.57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25A69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373.21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230C7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656.53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82D87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904.16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79B4F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907.33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F227B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910.50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53B77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970.59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31139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970.59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F3C8DE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970.59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10CF5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1,275.13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B4EC7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2,662.03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D719A8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2,950.78 </w:t>
            </w:r>
          </w:p>
        </w:tc>
      </w:tr>
      <w:tr w14:paraId="55710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F8F379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29</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BA7E7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r>
              <w:rPr>
                <w:rFonts w:hint="eastAsia" w:ascii="华文仿宋" w:hAnsi="华文仿宋" w:eastAsia="华文仿宋" w:cs="华文仿宋"/>
                <w:i w:val="0"/>
                <w:iCs w:val="0"/>
                <w:color w:val="000000"/>
                <w:kern w:val="0"/>
                <w:sz w:val="16"/>
                <w:szCs w:val="16"/>
                <w:u w:val="none"/>
                <w:lang w:val="en-US" w:eastAsia="zh-CN" w:bidi="ar"/>
              </w:rPr>
              <w:t>、增值税</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666C23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C610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3,704.20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409F0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3B011B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AA67F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1B434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B61A0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7.54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400666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91.76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0F641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92.97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1713E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95.83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EA20F0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97.13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C36E0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98.17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7EF2E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100.12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3FF5DE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100.13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48DD9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100.15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FAB0C4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101.97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A3BF9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101.97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79C53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101.97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C950B5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366.64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64C0D1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CAD06C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1,123.93 </w:t>
            </w:r>
          </w:p>
        </w:tc>
      </w:tr>
      <w:tr w14:paraId="31CB1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AB0973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EF71F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r>
              <w:rPr>
                <w:rFonts w:hint="eastAsia" w:ascii="华文仿宋" w:hAnsi="华文仿宋" w:eastAsia="华文仿宋" w:cs="华文仿宋"/>
                <w:i w:val="0"/>
                <w:iCs w:val="0"/>
                <w:color w:val="000000"/>
                <w:kern w:val="0"/>
                <w:sz w:val="16"/>
                <w:szCs w:val="16"/>
                <w:u w:val="none"/>
                <w:lang w:val="en-US" w:eastAsia="zh-CN" w:bidi="ar"/>
              </w:rPr>
              <w:t>、税金及附加</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1D3F69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0C5F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4,304.28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0FA83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2E5CC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0AB20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31D93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2C35F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17.89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E00DB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230.07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1D63BE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245.41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B57004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260.75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CE95D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276.08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6D8972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291.42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0410D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300.62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E98F6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300.62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48B61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300.62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28BE09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300.62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43924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300.62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A91DB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300.62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4BE96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332.39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B7C370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423.26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F56582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423.26 </w:t>
            </w:r>
          </w:p>
        </w:tc>
      </w:tr>
      <w:tr w14:paraId="0386A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20240AD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31</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8FC8A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w:t>
            </w:r>
            <w:r>
              <w:rPr>
                <w:rFonts w:hint="eastAsia" w:ascii="华文仿宋" w:hAnsi="华文仿宋" w:eastAsia="华文仿宋" w:cs="华文仿宋"/>
                <w:i w:val="0"/>
                <w:iCs w:val="0"/>
                <w:color w:val="000000"/>
                <w:kern w:val="0"/>
                <w:sz w:val="16"/>
                <w:szCs w:val="16"/>
                <w:u w:val="none"/>
                <w:lang w:val="en-US" w:eastAsia="zh-CN" w:bidi="ar"/>
              </w:rPr>
              <w:t>、企业所得税</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D8DDB5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A75A55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6,585.17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099EF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A5C8E8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7A9CF4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DF4236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AAAA33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6B809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51587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437747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B3B21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3CFDD7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266.93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56BDC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503.42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66888D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506.57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D2B5D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509.72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A7309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568.00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82197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568.00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75934B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568.00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7D9D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576.10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66FEEA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1,114.84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8AD700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1,403.59 </w:t>
            </w:r>
          </w:p>
        </w:tc>
      </w:tr>
      <w:tr w14:paraId="180E1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281CA58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68D1BE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投资活动产生的现金净流量</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992AF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-153,331.67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34DB07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BB712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-32,475.83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B94CF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-46,490.00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4CE58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-45,345.00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C9FB6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-29,020.83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B95C4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9808FA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50729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7D6E49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636560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138173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A9086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0F951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46BE0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01AB9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001818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6D33CA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1E1261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E25AA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2C0D455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7C9CC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FA205F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33</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2A005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一、投资活动产生的现金流入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A2B68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B71EF8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2C12F6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24139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D6EAE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58F15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10BC9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E0C9F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285F9E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05D17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21101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25B31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3029B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350309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CF9B7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F56B6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005BC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A54D4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1720F6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697FBE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3D0368A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59FF7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6F0EE3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34</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7B419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二、投资活动产生的现金流出</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E0162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153,331.67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A2826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63B2C6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32,475.83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35947C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46,490.00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EFA46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45,345.00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E5461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29,020.83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264A84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6DB0A3">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19D0E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CF5FE6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3BFDB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41E36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193A5C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60F7A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F7FAE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81379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BDE9B3">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02466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13D8DE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CDAAC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B1D420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631DA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0745D17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35</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67385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（一）建设投资</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0A304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153,331.67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363484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6EE49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32,475.83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78ED4A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46,490.00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F19146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45,345.00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93C1C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29,020.83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A99AD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5C2D3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E9BCC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2631B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02826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DEC00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FA246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D1A121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13D6B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2B04B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DAED0C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E05D48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636EB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9313C7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CC6AE9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7E2C9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A37AC0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36</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031F6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（二）流动资金</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2A4BFD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F8955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B1B21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47AAD9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D5ACF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09EDE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77AA4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AF8251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622828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EFE48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04EA0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D06CE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6D3FCE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66680B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7B07C0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0250C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8085D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781F7A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9D382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4B19D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986F05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4602A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320CD19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37</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BBC9F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融资活动产生的现金净流量</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5B509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153,331.67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480CC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-148,381.67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AA14F7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32,475.83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01EF8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46,490.00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2EDDD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45,345.00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CBD1AF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29,020.83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F6B393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5BB28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34B2E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014E0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452B5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9E732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BBE91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35C30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FBB73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1EB7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EB219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98C32F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171A6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-63,785.83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F8335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-31,540.00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BAFC6E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-10,385.00 </w:t>
            </w:r>
          </w:p>
        </w:tc>
      </w:tr>
      <w:tr w14:paraId="551BE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8D31C4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38</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1405F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一、融资活动产生的现金流入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84E26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162,800.00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8721C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9A767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32,560.00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A9E41C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48,840.00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C60D3F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48,840.00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33449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32,560.00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016677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E207D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275976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01FF8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866AF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337107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078D9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2CA30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0DE61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42AEFB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0DBFA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405F0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813E2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3ED57D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1E197B6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2E860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3EF2EAF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39</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36566D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（一）项目资本金流入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F6B88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62,800.00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7406D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7E78E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12,560.00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BF22C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8,840.00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D40697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18,840.00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500402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22,560.00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7CC00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305AD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F6D314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D4844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84148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3CEA72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CD8004">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AB148FF">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2B593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B3358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A7577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B82FF1">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9753B3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89837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6A3CD3E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3A0CA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148C5A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40</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26BFE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（二）发行债券融资流入</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4F2CE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100,000.00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64CE8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28F1B4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20,000.00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C2D409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40,000.00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BC65E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30,000.00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217B2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10,000.00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9F930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9E6E46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6BB31A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4D6CF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94CF8A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835953">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026597D">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9F68FE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FE09A8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FC3D366">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25B0D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AC47CF5">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32E95E">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C8B6A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51DD996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369DA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39E941E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41</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869D25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二、融资活动产生的现金流出</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F8035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9,468.33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D59D5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148,381.67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E7A8B8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84.17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649513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5856D1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3,495.00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43077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3,539.17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D9A9ED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3785AB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4A194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721004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C30D1F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32A29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EAEE0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53502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6232B4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E40C28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E0D8BC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68B4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F41C3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63,785.83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A2E37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31,540.00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903D0E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10,385.00 </w:t>
            </w:r>
          </w:p>
        </w:tc>
      </w:tr>
      <w:tr w14:paraId="1EE13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6D6BAEE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42</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66752B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（一）偿还专项债券本金</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2FCEDE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70E2FF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100,000.00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4B14B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03488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279CE1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0599A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D08AE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9AC45A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CBB4D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4A0D6C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961565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A994C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C8C5C2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A52731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857B24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CA09E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D7671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41C9BD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3BE915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60,000.00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7FF86F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30,000.00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29F6AC0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10,000.00 </w:t>
            </w:r>
          </w:p>
        </w:tc>
      </w:tr>
      <w:tr w14:paraId="437D5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06F590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43</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043990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（二）支付专项债券利息</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C060B3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9,368.33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7B5F975">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48,381.67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5A5F07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64.17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D2D049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2,310.00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C3B7B9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3,465.00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015C50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3,529.17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75F6F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320.83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A72DD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426360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902EE5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0318C1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855A1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931FA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B16EFB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87E7EF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A5E3C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59A28E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67210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0EB428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3,785.83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0EF580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1,540.00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2E4EF4C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385.00 </w:t>
            </w:r>
          </w:p>
        </w:tc>
      </w:tr>
      <w:tr w14:paraId="5B6F0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46665E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44</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7A511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（三）支付专项债券发行费</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CF461D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100.00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780A52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B3197D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BA0AD6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180555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30.00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FD1C4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398D1E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28085D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878CC1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C21DB72">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41E0A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92E0727">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136140">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8182199">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773535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708361B">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43D802A">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E5BA358">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F9B488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0533F4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448677EC">
            <w:pPr>
              <w:keepNext w:val="0"/>
              <w:keepLines w:val="0"/>
              <w:pageBreakBefore w:val="0"/>
              <w:widowControl/>
              <w:kinsoku/>
              <w:wordWrap/>
              <w:overflowPunct/>
              <w:topLinePunct w:val="0"/>
              <w:autoSpaceDE/>
              <w:autoSpaceDN/>
              <w:bidi w:val="0"/>
              <w:adjustRightInd/>
              <w:snapToGrid/>
              <w:spacing w:line="170" w:lineRule="exact"/>
              <w:ind w:firstLine="0" w:firstLineChars="0"/>
              <w:jc w:val="center"/>
              <w:rPr>
                <w:rFonts w:hint="default" w:ascii="Arial Narrow" w:hAnsi="Arial Narrow" w:eastAsia="Arial Narrow" w:cs="Arial Narrow"/>
                <w:i w:val="0"/>
                <w:iCs w:val="0"/>
                <w:color w:val="000000"/>
                <w:sz w:val="16"/>
                <w:szCs w:val="16"/>
                <w:u w:val="none"/>
              </w:rPr>
            </w:pPr>
          </w:p>
        </w:tc>
      </w:tr>
      <w:tr w14:paraId="10BBD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53EEA25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45</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BF6CF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四、期末现金增加（</w:t>
            </w:r>
            <w:r>
              <w:rPr>
                <w:rFonts w:hint="default" w:ascii="Arial Narrow" w:hAnsi="Arial Narrow" w:eastAsia="Arial Narrow" w:cs="Arial Narrow"/>
                <w:i w:val="0"/>
                <w:iCs w:val="0"/>
                <w:color w:val="000000"/>
                <w:kern w:val="0"/>
                <w:sz w:val="16"/>
                <w:szCs w:val="16"/>
                <w:u w:val="none"/>
                <w:lang w:val="en-US" w:eastAsia="zh-CN" w:bidi="ar"/>
              </w:rPr>
              <w:t>1+32+37</w:t>
            </w:r>
            <w:r>
              <w:rPr>
                <w:rFonts w:hint="eastAsia" w:ascii="华文仿宋" w:hAnsi="华文仿宋" w:eastAsia="华文仿宋" w:cs="华文仿宋"/>
                <w:i w:val="0"/>
                <w:iCs w:val="0"/>
                <w:color w:val="000000"/>
                <w:kern w:val="0"/>
                <w:sz w:val="16"/>
                <w:szCs w:val="16"/>
                <w:u w:val="none"/>
                <w:lang w:val="en-US" w:eastAsia="zh-CN" w:bidi="ar"/>
              </w:rPr>
              <w:t>）</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4D984E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D760B9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32,397.07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518DC4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CDCCC7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17B0B4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A71C9CE">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3D90E0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491.77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93C558">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6,683.94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FB008A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7,442.09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192B0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8,414.88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B81FB8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9,184.96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528E26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9,606.31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ECA2C52">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9,713.79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D4D3A5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9,724.00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1335540">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9,734.21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4C3B9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9,923.02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ABE822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9,923.02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50795CD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9,923.02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DDC048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-50,317.35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E7D466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-19,458.42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72ACE05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1,407.83 </w:t>
            </w:r>
          </w:p>
        </w:tc>
      </w:tr>
      <w:tr w14:paraId="5F648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206" w:type="pct"/>
            <w:tcBorders>
              <w:top w:val="single" w:color="4F81BD" w:sz="8" w:space="0"/>
              <w:left w:val="single" w:color="4F81BD" w:sz="8" w:space="0"/>
              <w:bottom w:val="single" w:color="4F81BD" w:sz="8" w:space="0"/>
              <w:right w:val="dotted" w:color="auto" w:sz="4" w:space="0"/>
            </w:tcBorders>
            <w:shd w:val="clear" w:color="auto" w:fill="FFFFFF"/>
            <w:noWrap w:val="0"/>
            <w:vAlign w:val="center"/>
          </w:tcPr>
          <w:p w14:paraId="045C044A">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46</w:t>
            </w:r>
          </w:p>
        </w:tc>
        <w:tc>
          <w:tcPr>
            <w:tcW w:w="498"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92A128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eastAsia" w:ascii="华文仿宋" w:hAnsi="华文仿宋" w:eastAsia="华文仿宋" w:cs="华文仿宋"/>
                <w:i w:val="0"/>
                <w:iCs w:val="0"/>
                <w:color w:val="000000"/>
                <w:kern w:val="0"/>
                <w:sz w:val="16"/>
                <w:szCs w:val="16"/>
                <w:u w:val="none"/>
                <w:lang w:val="en-US" w:eastAsia="zh-CN" w:bidi="ar"/>
              </w:rPr>
              <w:t>五、累计盈余资金</w:t>
            </w:r>
          </w:p>
        </w:tc>
        <w:tc>
          <w:tcPr>
            <w:tcW w:w="230"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1F2D83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3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B9AACE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A667EC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CA6AF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721430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4D1747C">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5A9F31B">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491.77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ED2908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7,175.71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D9F576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14,617.80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812268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23,032.68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4F2B238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32,217.64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93FE8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41,823.95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6FB4E349">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51,537.74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7B0D3F9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61,261.74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22E91EED">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70,995.95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173855E4">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80,918.97 </w:t>
            </w:r>
          </w:p>
        </w:tc>
        <w:tc>
          <w:tcPr>
            <w:tcW w:w="201"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80BF157">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90,841.99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40F7D33">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100,765.01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067DCA8F">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50,447.66 </w:t>
            </w:r>
          </w:p>
        </w:tc>
        <w:tc>
          <w:tcPr>
            <w:tcW w:w="202" w:type="pct"/>
            <w:tcBorders>
              <w:top w:val="single" w:color="4F81BD" w:sz="8" w:space="0"/>
              <w:left w:val="dotted" w:color="auto" w:sz="4" w:space="0"/>
              <w:bottom w:val="single" w:color="4F81BD" w:sz="8" w:space="0"/>
              <w:right w:val="dotted" w:color="auto" w:sz="4" w:space="0"/>
            </w:tcBorders>
            <w:shd w:val="clear" w:color="auto" w:fill="FFFFFF"/>
            <w:noWrap w:val="0"/>
            <w:vAlign w:val="center"/>
          </w:tcPr>
          <w:p w14:paraId="3784F8F6">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30,989.24 </w:t>
            </w:r>
          </w:p>
        </w:tc>
        <w:tc>
          <w:tcPr>
            <w:tcW w:w="205" w:type="pct"/>
            <w:tcBorders>
              <w:top w:val="single" w:color="4F81BD" w:sz="8" w:space="0"/>
              <w:left w:val="dotted" w:color="auto" w:sz="4" w:space="0"/>
              <w:bottom w:val="single" w:color="4F81BD" w:sz="8" w:space="0"/>
              <w:right w:val="single" w:color="4F81BD" w:sz="8" w:space="0"/>
            </w:tcBorders>
            <w:shd w:val="clear" w:color="auto" w:fill="FFFFFF"/>
            <w:noWrap w:val="0"/>
            <w:vAlign w:val="center"/>
          </w:tcPr>
          <w:p w14:paraId="0AF3D871">
            <w:pPr>
              <w:keepNext w:val="0"/>
              <w:keepLines w:val="0"/>
              <w:pageBreakBefore w:val="0"/>
              <w:widowControl/>
              <w:suppressLineNumbers w:val="0"/>
              <w:kinsoku/>
              <w:wordWrap/>
              <w:overflowPunct/>
              <w:topLinePunct w:val="0"/>
              <w:autoSpaceDE/>
              <w:autoSpaceDN/>
              <w:bidi w:val="0"/>
              <w:adjustRightInd/>
              <w:snapToGrid/>
              <w:spacing w:line="170" w:lineRule="exact"/>
              <w:ind w:firstLine="0" w:firstLineChars="0"/>
              <w:jc w:val="center"/>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 xml:space="preserve"> 32,397.07 </w:t>
            </w:r>
          </w:p>
        </w:tc>
      </w:tr>
    </w:tbl>
    <w:p w14:paraId="50FA860C">
      <w:pPr>
        <w:pStyle w:val="3"/>
        <w:tabs>
          <w:tab w:val="left" w:pos="254"/>
        </w:tabs>
        <w:ind w:left="0" w:leftChars="0" w:firstLine="0" w:firstLineChars="0"/>
        <w:rPr>
          <w:rFonts w:hint="eastAsia"/>
          <w:lang w:eastAsia="zh-CN"/>
        </w:rPr>
        <w:sectPr>
          <w:pgSz w:w="16838" w:h="11906" w:orient="landscape"/>
          <w:pgMar w:top="1644" w:right="2098" w:bottom="1418" w:left="1588" w:header="851" w:footer="992" w:gutter="0"/>
          <w:pgNumType w:fmt="numberInDash"/>
          <w:cols w:space="720" w:num="1"/>
          <w:docGrid w:type="lines" w:linePitch="435" w:charSpace="0"/>
        </w:sectPr>
      </w:pPr>
    </w:p>
    <w:p w14:paraId="27CD4745">
      <w:pPr>
        <w:keepNext w:val="0"/>
        <w:keepLines w:val="0"/>
        <w:pageBreakBefore w:val="0"/>
        <w:widowControl w:val="0"/>
        <w:kinsoku/>
        <w:wordWrap/>
        <w:overflowPunct/>
        <w:topLinePunct w:val="0"/>
        <w:autoSpaceDE/>
        <w:autoSpaceDN/>
        <w:bidi w:val="0"/>
        <w:adjustRightInd/>
        <w:snapToGrid w:val="0"/>
        <w:spacing w:line="600" w:lineRule="exact"/>
        <w:ind w:left="0" w:leftChars="0" w:firstLine="560" w:firstLineChars="200"/>
        <w:textAlignment w:val="auto"/>
        <w:outlineLvl w:val="0"/>
        <w:rPr>
          <w:rFonts w:hint="eastAsia" w:ascii="方正黑体简体" w:hAnsi="方正黑体简体" w:eastAsia="方正黑体简体" w:cs="方正黑体简体"/>
          <w:b w:val="0"/>
          <w:bCs w:val="0"/>
          <w:sz w:val="28"/>
          <w:szCs w:val="28"/>
        </w:rPr>
      </w:pPr>
      <w:r>
        <w:rPr>
          <w:rFonts w:hint="eastAsia" w:ascii="方正黑体简体" w:hAnsi="方正黑体简体" w:eastAsia="方正黑体简体" w:cs="方正黑体简体"/>
          <w:b w:val="0"/>
          <w:bCs w:val="0"/>
          <w:sz w:val="28"/>
          <w:szCs w:val="28"/>
        </w:rPr>
        <w:t>五、项目绩效目标</w:t>
      </w:r>
    </w:p>
    <w:p w14:paraId="0028A489">
      <w:pPr>
        <w:keepNext w:val="0"/>
        <w:keepLines w:val="0"/>
        <w:pageBreakBefore w:val="0"/>
        <w:widowControl w:val="0"/>
        <w:kinsoku/>
        <w:wordWrap/>
        <w:overflowPunct/>
        <w:topLinePunct w:val="0"/>
        <w:autoSpaceDE/>
        <w:autoSpaceDN/>
        <w:bidi w:val="0"/>
        <w:adjustRightInd/>
        <w:snapToGrid/>
        <w:spacing w:line="600" w:lineRule="exact"/>
        <w:ind w:firstLine="640"/>
        <w:textAlignment w:val="auto"/>
        <w:outlineLvl w:val="2"/>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时效目标:本次债券</w:t>
      </w:r>
      <w:r>
        <w:rPr>
          <w:rFonts w:hint="default" w:ascii="Times New Roman" w:hAnsi="Times New Roman" w:eastAsia="方正仿宋简体" w:cs="Times New Roman"/>
          <w:sz w:val="32"/>
          <w:szCs w:val="32"/>
          <w:lang w:val="zh-CN"/>
        </w:rPr>
        <w:t>发行期限为</w:t>
      </w:r>
      <w:r>
        <w:rPr>
          <w:rFonts w:hint="default" w:ascii="Times New Roman" w:hAnsi="Times New Roman" w:eastAsia="方正仿宋简体" w:cs="Times New Roman"/>
          <w:sz w:val="32"/>
          <w:szCs w:val="32"/>
          <w:lang w:val="en-US" w:eastAsia="zh-CN"/>
        </w:rPr>
        <w:t>15</w:t>
      </w:r>
      <w:r>
        <w:rPr>
          <w:rFonts w:hint="default" w:ascii="Times New Roman" w:hAnsi="Times New Roman" w:eastAsia="方正仿宋简体" w:cs="Times New Roman"/>
          <w:sz w:val="32"/>
          <w:szCs w:val="32"/>
          <w:lang w:val="zh-CN"/>
        </w:rPr>
        <w:t>年</w:t>
      </w:r>
      <w:r>
        <w:rPr>
          <w:rFonts w:hint="default" w:ascii="Times New Roman" w:hAnsi="Times New Roman" w:eastAsia="方正仿宋简体" w:cs="Times New Roman"/>
          <w:sz w:val="32"/>
          <w:szCs w:val="32"/>
          <w:lang w:val="zh-CN" w:eastAsia="zh-CN"/>
        </w:rPr>
        <w:t>，</w:t>
      </w:r>
      <w:r>
        <w:rPr>
          <w:rFonts w:hint="default" w:ascii="Times New Roman" w:hAnsi="Times New Roman" w:eastAsia="方正仿宋简体" w:cs="Times New Roman"/>
          <w:sz w:val="32"/>
          <w:szCs w:val="32"/>
          <w:lang w:val="en-US" w:eastAsia="zh-CN"/>
        </w:rPr>
        <w:t>债券15年内还本付息，</w:t>
      </w:r>
      <w:r>
        <w:rPr>
          <w:rFonts w:hint="default" w:ascii="Times New Roman" w:hAnsi="Times New Roman" w:eastAsia="方正仿宋简体" w:cs="Times New Roman"/>
          <w:sz w:val="32"/>
          <w:szCs w:val="32"/>
          <w:lang w:eastAsia="zh-CN"/>
        </w:rPr>
        <w:t>德阳经济技术开发区重点工程建设中心</w:t>
      </w:r>
      <w:r>
        <w:rPr>
          <w:rFonts w:hint="default" w:ascii="Times New Roman" w:hAnsi="Times New Roman" w:eastAsia="方正仿宋简体" w:cs="Times New Roman"/>
          <w:sz w:val="32"/>
          <w:szCs w:val="32"/>
          <w:lang w:val="en-US" w:eastAsia="zh-CN"/>
        </w:rPr>
        <w:t>可根据项目收益及实施情况提前还本付息。</w:t>
      </w:r>
    </w:p>
    <w:p w14:paraId="4B58BC3B">
      <w:pPr>
        <w:keepNext w:val="0"/>
        <w:keepLines w:val="0"/>
        <w:pageBreakBefore w:val="0"/>
        <w:widowControl w:val="0"/>
        <w:kinsoku/>
        <w:wordWrap/>
        <w:overflowPunct/>
        <w:topLinePunct w:val="0"/>
        <w:autoSpaceDE/>
        <w:autoSpaceDN/>
        <w:bidi w:val="0"/>
        <w:adjustRightInd/>
        <w:snapToGrid/>
        <w:spacing w:line="600" w:lineRule="exact"/>
        <w:ind w:firstLine="640"/>
        <w:textAlignment w:val="auto"/>
        <w:outlineLvl w:val="2"/>
        <w:rPr>
          <w:rFonts w:hint="default" w:ascii="Times New Roman" w:hAnsi="Times New Roman" w:eastAsia="方正仿宋简体" w:cs="Times New Roman"/>
          <w:sz w:val="32"/>
          <w:szCs w:val="32"/>
          <w:lang w:val="zh-CN" w:eastAsia="zh-CN"/>
        </w:rPr>
      </w:pPr>
      <w:r>
        <w:rPr>
          <w:rFonts w:hint="default" w:ascii="Times New Roman" w:hAnsi="Times New Roman" w:eastAsia="方正仿宋简体" w:cs="Times New Roman"/>
          <w:sz w:val="32"/>
          <w:szCs w:val="32"/>
          <w:lang w:val="en-US" w:eastAsia="zh-CN"/>
        </w:rPr>
        <w:t>经济效益目标：</w:t>
      </w:r>
      <w:r>
        <w:rPr>
          <w:rFonts w:hint="default" w:ascii="Times New Roman" w:hAnsi="Times New Roman" w:eastAsia="方正仿宋简体" w:cs="Times New Roman"/>
          <w:sz w:val="32"/>
          <w:szCs w:val="32"/>
          <w:lang w:val="zh-CN"/>
        </w:rPr>
        <w:t>创造就业机会，创造地方国民生产总值，增加税收</w:t>
      </w:r>
      <w:r>
        <w:rPr>
          <w:rFonts w:hint="default" w:ascii="Times New Roman" w:hAnsi="Times New Roman" w:eastAsia="方正仿宋简体" w:cs="Times New Roman"/>
          <w:sz w:val="32"/>
          <w:szCs w:val="32"/>
          <w:lang w:val="zh-CN" w:eastAsia="zh-CN"/>
        </w:rPr>
        <w:t>。</w:t>
      </w:r>
    </w:p>
    <w:p w14:paraId="4340275E">
      <w:pPr>
        <w:keepNext w:val="0"/>
        <w:keepLines w:val="0"/>
        <w:pageBreakBefore w:val="0"/>
        <w:widowControl w:val="0"/>
        <w:kinsoku/>
        <w:wordWrap/>
        <w:overflowPunct/>
        <w:topLinePunct w:val="0"/>
        <w:autoSpaceDE/>
        <w:autoSpaceDN/>
        <w:bidi w:val="0"/>
        <w:adjustRightInd/>
        <w:snapToGrid/>
        <w:spacing w:line="600" w:lineRule="exact"/>
        <w:ind w:firstLine="640"/>
        <w:textAlignment w:val="auto"/>
        <w:outlineLvl w:val="2"/>
        <w:rPr>
          <w:rFonts w:hint="default" w:ascii="Times New Roman" w:hAnsi="Times New Roman" w:eastAsia="方正仿宋简体" w:cs="Times New Roman"/>
          <w:sz w:val="32"/>
          <w:szCs w:val="32"/>
          <w:lang w:val="zh-CN" w:eastAsia="zh-CN"/>
        </w:rPr>
      </w:pPr>
      <w:r>
        <w:rPr>
          <w:rFonts w:hint="default" w:ascii="Times New Roman" w:hAnsi="Times New Roman" w:eastAsia="方正仿宋简体" w:cs="Times New Roman"/>
          <w:sz w:val="32"/>
          <w:szCs w:val="32"/>
          <w:lang w:val="en-US" w:eastAsia="zh-CN"/>
        </w:rPr>
        <w:t>社会效益目标：工程建设期间期间，将增加大量的就业机会，带动当地及周边群众走上脱贫致富之路，提升人民生活质量。</w:t>
      </w:r>
    </w:p>
    <w:p w14:paraId="0B2319BA">
      <w:pPr>
        <w:keepNext w:val="0"/>
        <w:keepLines w:val="0"/>
        <w:pageBreakBefore w:val="0"/>
        <w:widowControl w:val="0"/>
        <w:kinsoku/>
        <w:wordWrap/>
        <w:overflowPunct/>
        <w:topLinePunct w:val="0"/>
        <w:autoSpaceDE/>
        <w:autoSpaceDN/>
        <w:bidi w:val="0"/>
        <w:adjustRightInd/>
        <w:snapToGrid/>
        <w:spacing w:line="600" w:lineRule="exact"/>
        <w:ind w:firstLine="640"/>
        <w:textAlignment w:val="auto"/>
        <w:outlineLvl w:val="2"/>
        <w:rPr>
          <w:rFonts w:hint="default" w:ascii="Times New Roman" w:hAnsi="Times New Roman" w:eastAsia="方正仿宋简体" w:cs="Times New Roman"/>
          <w:sz w:val="32"/>
          <w:szCs w:val="32"/>
          <w:lang w:val="zh-CN" w:eastAsia="zh-CN"/>
        </w:rPr>
      </w:pPr>
      <w:r>
        <w:rPr>
          <w:rFonts w:hint="default" w:ascii="Times New Roman" w:hAnsi="Times New Roman" w:eastAsia="方正仿宋简体" w:cs="Times New Roman"/>
          <w:sz w:val="32"/>
          <w:szCs w:val="32"/>
          <w:lang w:val="en-US" w:eastAsia="zh-CN"/>
        </w:rPr>
        <w:t>可持续影响目标：</w:t>
      </w:r>
      <w:r>
        <w:rPr>
          <w:rFonts w:hint="default" w:ascii="Times New Roman" w:hAnsi="Times New Roman" w:eastAsia="方正仿宋简体" w:cs="Times New Roman"/>
          <w:sz w:val="32"/>
          <w:szCs w:val="32"/>
          <w:lang w:val="zh-CN"/>
        </w:rPr>
        <w:t>优化区域经济结构和产业布局</w:t>
      </w:r>
      <w:r>
        <w:rPr>
          <w:rFonts w:hint="default" w:ascii="Times New Roman" w:hAnsi="Times New Roman" w:eastAsia="方正仿宋简体" w:cs="Times New Roman"/>
          <w:sz w:val="32"/>
          <w:szCs w:val="32"/>
          <w:lang w:val="zh-CN" w:eastAsia="zh-CN"/>
        </w:rPr>
        <w:t>。</w:t>
      </w:r>
    </w:p>
    <w:p w14:paraId="64E9245D">
      <w:pPr>
        <w:pStyle w:val="2"/>
        <w:rPr>
          <w:rFonts w:hint="default" w:ascii="Times New Roman" w:hAnsi="Times New Roman" w:eastAsia="方正仿宋简体" w:cs="Times New Roman"/>
          <w:sz w:val="32"/>
          <w:szCs w:val="32"/>
          <w:lang w:val="zh-CN" w:eastAsia="zh-CN"/>
        </w:rPr>
      </w:pPr>
      <w:r>
        <w:drawing>
          <wp:inline distT="0" distB="0" distL="114300" distR="114300">
            <wp:extent cx="5048250" cy="6420485"/>
            <wp:effectExtent l="0" t="0" r="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048250" cy="6420485"/>
                    </a:xfrm>
                    <a:prstGeom prst="rect">
                      <a:avLst/>
                    </a:prstGeom>
                    <a:noFill/>
                    <a:ln>
                      <a:noFill/>
                    </a:ln>
                  </pic:spPr>
                </pic:pic>
              </a:graphicData>
            </a:graphic>
          </wp:inline>
        </w:drawing>
      </w:r>
    </w:p>
    <w:p w14:paraId="12C81A28">
      <w:pPr>
        <w:pStyle w:val="3"/>
        <w:rPr>
          <w:rFonts w:hint="default" w:ascii="Times New Roman" w:hAnsi="Times New Roman" w:eastAsia="方正仿宋简体" w:cs="Times New Roman"/>
          <w:sz w:val="32"/>
          <w:szCs w:val="32"/>
          <w:lang w:val="zh-CN" w:eastAsia="zh-CN"/>
        </w:rPr>
      </w:pPr>
    </w:p>
    <w:p w14:paraId="37AD6751">
      <w:pPr>
        <w:rPr>
          <w:rFonts w:hint="default" w:ascii="Times New Roman" w:hAnsi="Times New Roman" w:eastAsia="方正仿宋简体" w:cs="Times New Roman"/>
          <w:sz w:val="32"/>
          <w:szCs w:val="32"/>
          <w:lang w:val="zh-CN" w:eastAsia="zh-CN"/>
        </w:rPr>
      </w:pPr>
    </w:p>
    <w:p w14:paraId="38C6C3AA">
      <w:pPr>
        <w:pStyle w:val="2"/>
        <w:rPr>
          <w:rFonts w:hint="default" w:ascii="Times New Roman" w:hAnsi="Times New Roman" w:eastAsia="方正仿宋简体" w:cs="Times New Roman"/>
          <w:sz w:val="32"/>
          <w:szCs w:val="32"/>
          <w:lang w:val="zh-CN" w:eastAsia="zh-CN"/>
        </w:rPr>
      </w:pPr>
    </w:p>
    <w:p w14:paraId="01AE7A29">
      <w:pPr>
        <w:ind w:left="0" w:leftChars="0" w:firstLine="0" w:firstLineChars="0"/>
        <w:rPr>
          <w:rFonts w:hint="default" w:ascii="Times New Roman" w:hAnsi="Times New Roman" w:eastAsia="方正仿宋简体" w:cs="Times New Roman"/>
          <w:sz w:val="32"/>
          <w:szCs w:val="32"/>
          <w:lang w:val="zh-CN" w:eastAsia="zh-CN"/>
        </w:rPr>
      </w:pPr>
    </w:p>
    <w:p w14:paraId="0F787082">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黑体简体" w:cs="Times New Roman"/>
          <w:b w:val="0"/>
          <w:bCs w:val="0"/>
          <w:sz w:val="28"/>
          <w:szCs w:val="28"/>
        </w:rPr>
      </w:pPr>
      <w:r>
        <w:rPr>
          <w:rFonts w:hint="default" w:ascii="Times New Roman" w:hAnsi="Times New Roman" w:eastAsia="方正黑体简体" w:cs="Times New Roman"/>
          <w:b w:val="0"/>
          <w:bCs w:val="0"/>
          <w:sz w:val="28"/>
          <w:szCs w:val="28"/>
        </w:rPr>
        <w:t>六、潜在影响项目的风险评估</w:t>
      </w:r>
    </w:p>
    <w:p w14:paraId="2910BC5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bookmarkStart w:id="9" w:name="_Toc24265"/>
      <w:bookmarkStart w:id="10" w:name="_Toc9837"/>
      <w:bookmarkStart w:id="11" w:name="_Toc1719522"/>
      <w:bookmarkStart w:id="12" w:name="_Toc19307"/>
      <w:bookmarkStart w:id="13" w:name="_Toc523481580"/>
      <w:bookmarkStart w:id="14" w:name="_Toc31579"/>
      <w:bookmarkStart w:id="15" w:name="_Toc522211116"/>
      <w:bookmarkStart w:id="16" w:name="_Toc10507"/>
      <w:bookmarkStart w:id="17" w:name="_Toc8221"/>
      <w:bookmarkStart w:id="18" w:name="_Toc19329"/>
      <w:bookmarkStart w:id="19" w:name="_Toc13272"/>
      <w:bookmarkStart w:id="20" w:name="_Toc533440373"/>
      <w:bookmarkStart w:id="21" w:name="_Toc20292"/>
      <w:bookmarkStart w:id="22" w:name="_Toc9001"/>
      <w:bookmarkStart w:id="23" w:name="_Toc3133"/>
      <w:bookmarkStart w:id="24" w:name="_Toc23946"/>
      <w:bookmarkStart w:id="25" w:name="_Toc17567"/>
      <w:bookmarkStart w:id="26" w:name="_Toc8567"/>
      <w:bookmarkStart w:id="27" w:name="_Toc11878"/>
      <w:bookmarkStart w:id="28" w:name="_Toc17546587"/>
      <w:r>
        <w:rPr>
          <w:rFonts w:hint="default" w:ascii="Times New Roman" w:hAnsi="Times New Roman" w:eastAsia="方正仿宋简体" w:cs="Times New Roman"/>
          <w:b/>
          <w:bCs/>
          <w:sz w:val="32"/>
          <w:szCs w:val="32"/>
        </w:rPr>
        <w:t>1.自然环境和施工条件</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D60567A">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识别：自然环境和施工条件风险主要是指恶劣的自然条件，恶劣的气候和环境，恶劣的现场条件以及不利的地理环境等。项目存在因自然环境和施工条件的因素而形成的风险，如地震，风暴，异常恶劣的雨、雪、冰冻天气等；未能预测到的特殊地质条件，如泥石流、河塘、流沙、泉眼等；恶劣的施工现场条件或考古文物保护等都会造成工期的拖延和财产的损失。</w:t>
      </w:r>
    </w:p>
    <w:p w14:paraId="0C0E0AA4">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它建设费用类。</w:t>
      </w:r>
    </w:p>
    <w:p w14:paraId="7B78A2BE">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bookmarkStart w:id="29" w:name="_Toc19820"/>
      <w:bookmarkStart w:id="30" w:name="_Toc23366"/>
      <w:bookmarkStart w:id="31" w:name="_Toc8987"/>
      <w:bookmarkStart w:id="32" w:name="_Toc4903"/>
      <w:bookmarkStart w:id="33" w:name="_Toc27268"/>
      <w:bookmarkStart w:id="34" w:name="_Toc11694"/>
      <w:bookmarkStart w:id="35" w:name="_Toc533440374"/>
      <w:bookmarkStart w:id="36" w:name="_Toc9961"/>
      <w:bookmarkStart w:id="37" w:name="_Toc1719523"/>
      <w:bookmarkStart w:id="38" w:name="_Toc4753"/>
      <w:bookmarkStart w:id="39" w:name="_Toc17546588"/>
      <w:bookmarkStart w:id="40" w:name="_Toc5424"/>
      <w:bookmarkStart w:id="41" w:name="_Toc8314"/>
      <w:bookmarkStart w:id="42" w:name="_Toc9730"/>
      <w:bookmarkStart w:id="43" w:name="_Toc522211117"/>
      <w:bookmarkStart w:id="44" w:name="_Toc20209"/>
      <w:bookmarkStart w:id="45" w:name="_Toc1902"/>
      <w:bookmarkStart w:id="46" w:name="_Toc3884"/>
      <w:bookmarkStart w:id="47" w:name="_Toc523481581"/>
      <w:r>
        <w:rPr>
          <w:rFonts w:hint="default" w:ascii="Times New Roman" w:hAnsi="Times New Roman" w:eastAsia="方正仿宋简体" w:cs="Times New Roman"/>
          <w:b/>
          <w:bCs/>
          <w:sz w:val="32"/>
          <w:szCs w:val="32"/>
        </w:rPr>
        <w:t>2.来源于施工方的风险因素</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1E26DE0">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识别：施工方的风险因素主要由施工技术不当、管理方案不完善导致。管理者及工程人员的水平和工作态度的影响；施工管理不善、发包方、承包方、监理方不行形成高效的合作机制；建筑原材料、成品、半成品质量的影响；施工所采用的技术方案、工艺流程、管理组织措施的影响。</w:t>
      </w:r>
    </w:p>
    <w:p w14:paraId="046F4BA6">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控制措施：在招标和工程实施中应确保相关人员的素质和水平，特别是设计负责人和专业负责人、总监理工程师、施工项目经理、业主代表及各类管理人员。对建筑原材料（如水泥、砂石、钢材，机械设备、电线电缆、管材以及其它成品、半成品等），必须严格从招标、签定合同、出厂合格证、进场检测、现场保管、安装调试、工程验收等各个环节把好关，杜绝不合格产品和材料用于工程建设。</w:t>
      </w:r>
    </w:p>
    <w:p w14:paraId="0A6BA256">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bookmarkStart w:id="48" w:name="_Toc4267"/>
      <w:bookmarkStart w:id="49" w:name="_Toc16602"/>
      <w:bookmarkStart w:id="50" w:name="_Toc26119"/>
      <w:bookmarkStart w:id="51" w:name="_Toc19050"/>
      <w:bookmarkStart w:id="52" w:name="_Toc9158"/>
      <w:bookmarkStart w:id="53" w:name="_Toc522211118"/>
      <w:bookmarkStart w:id="54" w:name="_Toc20569"/>
      <w:bookmarkStart w:id="55" w:name="_Toc3244"/>
      <w:bookmarkStart w:id="56" w:name="_Toc17546589"/>
      <w:bookmarkStart w:id="57" w:name="_Toc8590"/>
      <w:bookmarkStart w:id="58" w:name="_Toc6870"/>
      <w:bookmarkStart w:id="59" w:name="_Toc533440375"/>
      <w:bookmarkStart w:id="60" w:name="_Toc1719524"/>
      <w:bookmarkStart w:id="61" w:name="_Toc32054"/>
      <w:bookmarkStart w:id="62" w:name="_Toc28355"/>
      <w:bookmarkStart w:id="63" w:name="_Toc6172"/>
      <w:bookmarkStart w:id="64" w:name="_Toc523481582"/>
      <w:bookmarkStart w:id="65" w:name="_Toc29272"/>
      <w:bookmarkStart w:id="66" w:name="_Toc20901"/>
      <w:r>
        <w:rPr>
          <w:rFonts w:hint="default" w:ascii="Times New Roman" w:hAnsi="Times New Roman" w:eastAsia="方正仿宋简体" w:cs="Times New Roman"/>
          <w:b/>
          <w:bCs/>
          <w:sz w:val="32"/>
          <w:szCs w:val="32"/>
        </w:rPr>
        <w:t>3.来源于设计单位的风险因素</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75F50523">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14:paraId="057A5B78">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控制措施：应拟订规划设计大纲，明确设计质量标准。在设计阶段，设计单位因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施工中派驻设计代表，明确责任到位，参加防线、验槽、隐蔽工程验收、单项和总体工程验收等，负责现场解决设计技术问题。对设计变更，尽量提前实现，尽可能把设计变更控制在设计阶段初期，特别是对影响工程造价的重大设计变更，更要用先算账后变更的办法解决，使工程造价得到解决有效控制，同时保证施工进度。</w:t>
      </w:r>
    </w:p>
    <w:p w14:paraId="2B70731D">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bookmarkStart w:id="67" w:name="_Toc6360"/>
      <w:bookmarkStart w:id="68" w:name="_Toc12405"/>
      <w:bookmarkStart w:id="69" w:name="_Toc14970"/>
      <w:bookmarkStart w:id="70" w:name="_Toc1719525"/>
      <w:bookmarkStart w:id="71" w:name="_Toc24646"/>
      <w:bookmarkStart w:id="72" w:name="_Toc6452"/>
      <w:bookmarkStart w:id="73" w:name="_Toc17546590"/>
      <w:bookmarkStart w:id="74" w:name="_Toc3278"/>
      <w:bookmarkStart w:id="75" w:name="_Toc523481583"/>
      <w:bookmarkStart w:id="76" w:name="_Toc17264"/>
      <w:bookmarkStart w:id="77" w:name="_Toc15109"/>
      <w:bookmarkStart w:id="78" w:name="_Toc20711"/>
      <w:bookmarkStart w:id="79" w:name="_Toc533440376"/>
      <w:bookmarkStart w:id="80" w:name="_Toc9854"/>
      <w:bookmarkStart w:id="81" w:name="_Toc19097"/>
      <w:bookmarkStart w:id="82" w:name="_Toc4485"/>
      <w:bookmarkStart w:id="83" w:name="_Toc865"/>
      <w:bookmarkStart w:id="84" w:name="_Toc522211119"/>
      <w:bookmarkStart w:id="85" w:name="_Toc10613"/>
      <w:r>
        <w:rPr>
          <w:rFonts w:hint="default" w:ascii="Times New Roman" w:hAnsi="Times New Roman" w:eastAsia="方正仿宋简体" w:cs="Times New Roman"/>
          <w:b/>
          <w:bCs/>
          <w:sz w:val="32"/>
          <w:szCs w:val="32"/>
        </w:rPr>
        <w:t>4.来源于供应商的风险因素</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B7C2CAB">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14:paraId="6FE0E2B2">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14:paraId="62197DFC">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bookmarkStart w:id="86" w:name="_Toc17018"/>
      <w:bookmarkStart w:id="87" w:name="_Toc14916"/>
      <w:bookmarkStart w:id="88" w:name="_Toc522211120"/>
      <w:bookmarkStart w:id="89" w:name="_Toc30520"/>
      <w:bookmarkStart w:id="90" w:name="_Toc523481584"/>
      <w:bookmarkStart w:id="91" w:name="_Toc24695"/>
      <w:bookmarkStart w:id="92" w:name="_Toc1719526"/>
      <w:bookmarkStart w:id="93" w:name="_Toc24197"/>
      <w:bookmarkStart w:id="94" w:name="_Toc23826"/>
      <w:bookmarkStart w:id="95" w:name="_Toc917"/>
      <w:bookmarkStart w:id="96" w:name="_Toc3246"/>
      <w:bookmarkStart w:id="97" w:name="_Toc4257"/>
      <w:bookmarkStart w:id="98" w:name="_Toc17686"/>
      <w:bookmarkStart w:id="99" w:name="_Toc17546591"/>
      <w:bookmarkStart w:id="100" w:name="_Toc533440377"/>
      <w:bookmarkStart w:id="101" w:name="_Toc6631"/>
      <w:bookmarkStart w:id="102" w:name="_Toc15152"/>
      <w:bookmarkStart w:id="103" w:name="_Toc19736"/>
      <w:bookmarkStart w:id="104" w:name="_Toc11220"/>
      <w:r>
        <w:rPr>
          <w:rFonts w:hint="default" w:ascii="Times New Roman" w:hAnsi="Times New Roman" w:eastAsia="方正仿宋简体" w:cs="Times New Roman"/>
          <w:b/>
          <w:bCs/>
          <w:sz w:val="32"/>
          <w:szCs w:val="32"/>
        </w:rPr>
        <w:t>5.资金落实情况</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32206D31">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风险识别：资金落实风险主要是因融资、拨款等环节的各种客、主观原因，资金不能及时到位，导致项目建设停工或拖延；或是利率变化导致融资成本升高而形成的。</w:t>
      </w:r>
    </w:p>
    <w:p w14:paraId="36DA0CCC">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控制措施：建议项目可以拓展各种融资渠道，准确把握国家宏观经济政策、国家及地方产业发展政策，充分利用有利条件，在其变化时及时调整策略。加强对项目的资金管理，落实建设资金，保证工程按期完工。</w:t>
      </w:r>
    </w:p>
    <w:p w14:paraId="6116DB31">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b/>
          <w:bCs/>
          <w:sz w:val="32"/>
          <w:szCs w:val="32"/>
        </w:rPr>
      </w:pPr>
      <w:bookmarkStart w:id="105" w:name="_Toc24179"/>
      <w:bookmarkStart w:id="106" w:name="_Toc2256"/>
      <w:bookmarkStart w:id="107" w:name="_Toc1719527"/>
      <w:bookmarkStart w:id="108" w:name="_Toc16315"/>
      <w:bookmarkStart w:id="109" w:name="_Toc522211121"/>
      <w:bookmarkStart w:id="110" w:name="_Toc523481585"/>
      <w:bookmarkStart w:id="111" w:name="_Toc27123"/>
      <w:bookmarkStart w:id="112" w:name="_Toc11056"/>
      <w:bookmarkStart w:id="113" w:name="_Toc2792"/>
      <w:bookmarkStart w:id="114" w:name="_Toc21095"/>
      <w:bookmarkStart w:id="115" w:name="_Toc19503"/>
      <w:bookmarkStart w:id="116" w:name="_Toc29925"/>
      <w:bookmarkStart w:id="117" w:name="_Toc17546592"/>
      <w:bookmarkStart w:id="118" w:name="_Toc21427"/>
      <w:bookmarkStart w:id="119" w:name="_Toc1406"/>
      <w:bookmarkStart w:id="120" w:name="_Toc3287"/>
      <w:bookmarkStart w:id="121" w:name="_Toc25838"/>
      <w:bookmarkStart w:id="122" w:name="_Toc533440378"/>
      <w:bookmarkStart w:id="123" w:name="_Toc32413"/>
      <w:r>
        <w:rPr>
          <w:rFonts w:hint="default" w:ascii="Times New Roman" w:hAnsi="Times New Roman" w:eastAsia="方正仿宋简体" w:cs="Times New Roman"/>
          <w:b/>
          <w:bCs/>
          <w:sz w:val="32"/>
          <w:szCs w:val="32"/>
        </w:rPr>
        <w:t>6.工程事故</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2A3DBE67">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风险识别：工程事故风险主要存在于施工过程中，施工中人的不安全行为、物的不安全状态、作业环境的不安全因素和管理缺陷是项目发生工程事故的主要原因，必须采取有针对性的控制措施。</w:t>
      </w:r>
    </w:p>
    <w:p w14:paraId="62299569">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分部分项工程，编制专项安全施工方案。应派驻经验丰富的甲方代表加强该方面工作，遇到质量、安全隐患及时提出整改要求。</w:t>
      </w:r>
    </w:p>
    <w:p w14:paraId="29253B8E">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黑体简体" w:cs="Times New Roman"/>
          <w:b w:val="0"/>
          <w:bCs w:val="0"/>
          <w:sz w:val="28"/>
          <w:szCs w:val="28"/>
        </w:rPr>
      </w:pPr>
      <w:r>
        <w:rPr>
          <w:rFonts w:hint="default" w:ascii="Times New Roman" w:hAnsi="Times New Roman" w:eastAsia="方正黑体简体" w:cs="Times New Roman"/>
          <w:b w:val="0"/>
          <w:bCs w:val="0"/>
          <w:sz w:val="28"/>
          <w:szCs w:val="28"/>
        </w:rPr>
        <w:t>七、还款保障情况</w:t>
      </w:r>
    </w:p>
    <w:p w14:paraId="279728D0">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041792B3">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黑体简体" w:cs="Times New Roman"/>
          <w:b w:val="0"/>
          <w:bCs w:val="0"/>
          <w:sz w:val="28"/>
          <w:szCs w:val="28"/>
        </w:rPr>
      </w:pPr>
      <w:r>
        <w:rPr>
          <w:rFonts w:hint="default" w:ascii="Times New Roman" w:hAnsi="Times New Roman" w:eastAsia="方正黑体简体" w:cs="Times New Roman"/>
          <w:b w:val="0"/>
          <w:bCs w:val="0"/>
          <w:sz w:val="28"/>
          <w:szCs w:val="28"/>
        </w:rPr>
        <w:t>八、主管部门职责</w:t>
      </w:r>
    </w:p>
    <w:p w14:paraId="57DDC19A">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本项目主管部门为</w:t>
      </w:r>
      <w:r>
        <w:rPr>
          <w:rFonts w:hint="default" w:ascii="Times New Roman" w:hAnsi="Times New Roman" w:eastAsia="方正仿宋简体" w:cs="Times New Roman"/>
          <w:sz w:val="32"/>
          <w:szCs w:val="32"/>
          <w:lang w:val="en-US" w:eastAsia="zh-CN"/>
        </w:rPr>
        <w:t>德阳经济技术开发区住房和城乡建设局</w:t>
      </w:r>
      <w:r>
        <w:rPr>
          <w:rFonts w:hint="default" w:ascii="Times New Roman" w:hAnsi="Times New Roman" w:eastAsia="方正仿宋简体" w:cs="Times New Roman"/>
          <w:sz w:val="32"/>
          <w:szCs w:val="32"/>
        </w:rPr>
        <w:t>，职责为负责对本部门专项债券项目审核把关。指导本行业项目规划与储备、梳理项目需求和编制项目实施方案。指导本行业及时规范使用债券资金，对建设运营情况进行监督，并统筹协调相关部门保障项目建设进度，如期实现项目收入。主管部门协同财政部门将项目收益专项债券对应项目形成的资产纳入国有资产管理，加强资产日常统计和动态监控。</w:t>
      </w:r>
    </w:p>
    <w:p w14:paraId="18838760">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本项目的项目单位为</w:t>
      </w:r>
      <w:r>
        <w:rPr>
          <w:rFonts w:hint="default" w:ascii="Times New Roman" w:hAnsi="Times New Roman" w:eastAsia="方正仿宋简体" w:cs="Times New Roman"/>
          <w:sz w:val="32"/>
          <w:szCs w:val="32"/>
          <w:lang w:val="en-US" w:eastAsia="zh-CN"/>
        </w:rPr>
        <w:t>德阳经济技术开发区重点工程建设中心</w:t>
      </w:r>
      <w:r>
        <w:rPr>
          <w:rFonts w:hint="default" w:ascii="Times New Roman" w:hAnsi="Times New Roman" w:eastAsia="方正仿宋简体" w:cs="Times New Roman"/>
          <w:sz w:val="32"/>
          <w:szCs w:val="32"/>
        </w:rPr>
        <w:t>，职责为负责提出本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项目单位对专项债券资金收入和支出、对应项目形成的收入和支出进行专账核算，准确反映资金的收支情况。项目单位应当单独开设账户，用于专项债券资金、项目资本金、项目收入、还本付息等资金监管。协同财政部门将项目收益专项债券对应项目形成的资产纳入国有资产管理，加强资产日常统计和动态监控。</w:t>
      </w:r>
    </w:p>
    <w:p w14:paraId="2F7C6D2F">
      <w:pPr>
        <w:keepNext w:val="0"/>
        <w:keepLines w:val="0"/>
        <w:pageBreakBefore w:val="0"/>
        <w:wordWrap/>
        <w:overflowPunct/>
        <w:topLinePunct w:val="0"/>
        <w:bidi w:val="0"/>
        <w:snapToGrid w:val="0"/>
        <w:spacing w:line="600" w:lineRule="exact"/>
        <w:ind w:firstLine="643"/>
        <w:outlineLvl w:val="0"/>
        <w:rPr>
          <w:rFonts w:hint="default" w:ascii="Times New Roman" w:hAnsi="Times New Roman" w:eastAsia="方正黑体简体" w:cs="Times New Roman"/>
          <w:b w:val="0"/>
          <w:bCs w:val="0"/>
          <w:sz w:val="28"/>
          <w:szCs w:val="28"/>
        </w:rPr>
      </w:pPr>
      <w:r>
        <w:rPr>
          <w:rFonts w:hint="default" w:ascii="Times New Roman" w:hAnsi="Times New Roman" w:eastAsia="方正黑体简体" w:cs="Times New Roman"/>
          <w:b w:val="0"/>
          <w:bCs w:val="0"/>
          <w:sz w:val="28"/>
          <w:szCs w:val="28"/>
          <w:lang w:eastAsia="zh-CN"/>
        </w:rPr>
        <w:t>九、</w:t>
      </w:r>
      <w:r>
        <w:rPr>
          <w:rFonts w:hint="default" w:ascii="Times New Roman" w:hAnsi="Times New Roman" w:eastAsia="方正黑体简体" w:cs="Times New Roman"/>
          <w:b w:val="0"/>
          <w:bCs w:val="0"/>
          <w:sz w:val="28"/>
          <w:szCs w:val="28"/>
        </w:rPr>
        <w:t>补充说明</w:t>
      </w:r>
    </w:p>
    <w:p w14:paraId="7508D9E7">
      <w:pPr>
        <w:keepNext w:val="0"/>
        <w:keepLines w:val="0"/>
        <w:pageBreakBefore w:val="0"/>
        <w:wordWrap/>
        <w:overflowPunct/>
        <w:topLinePunct w:val="0"/>
        <w:bidi w:val="0"/>
        <w:spacing w:line="600" w:lineRule="exact"/>
        <w:ind w:firstLine="640"/>
        <w:outlineLvl w:val="2"/>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根据</w:t>
      </w:r>
      <w:r>
        <w:rPr>
          <w:rFonts w:hint="eastAsia" w:ascii="Times New Roman" w:hAnsi="Times New Roman" w:eastAsia="方正仿宋简体" w:cs="Times New Roman"/>
          <w:sz w:val="32"/>
          <w:szCs w:val="32"/>
          <w:lang w:val="en-US" w:eastAsia="zh-CN"/>
        </w:rPr>
        <w:t>2025年第二批项目调整</w:t>
      </w:r>
      <w:r>
        <w:rPr>
          <w:rFonts w:hint="default" w:ascii="Times New Roman" w:hAnsi="Times New Roman" w:eastAsia="方正仿宋简体" w:cs="Times New Roman"/>
          <w:sz w:val="32"/>
          <w:szCs w:val="32"/>
        </w:rPr>
        <w:t>发行计划及额度安排</w:t>
      </w:r>
      <w:r>
        <w:rPr>
          <w:rFonts w:hint="eastAsia" w:ascii="Times New Roman" w:hAnsi="Times New Roman" w:eastAsia="方正仿宋简体" w:cs="Times New Roman"/>
          <w:sz w:val="32"/>
          <w:szCs w:val="32"/>
          <w:lang w:eastAsia="zh-CN"/>
        </w:rPr>
        <w:t>，该</w:t>
      </w:r>
      <w:r>
        <w:rPr>
          <w:rFonts w:hint="default" w:ascii="Times New Roman" w:hAnsi="Times New Roman" w:eastAsia="方正仿宋简体" w:cs="Times New Roman"/>
          <w:sz w:val="32"/>
          <w:szCs w:val="32"/>
        </w:rPr>
        <w:t>项目</w:t>
      </w:r>
      <w:r>
        <w:rPr>
          <w:rFonts w:hint="eastAsia" w:ascii="Times New Roman" w:hAnsi="Times New Roman" w:eastAsia="方正仿宋简体" w:cs="Times New Roman"/>
          <w:sz w:val="32"/>
          <w:szCs w:val="32"/>
          <w:lang w:val="en-US" w:eastAsia="zh-CN"/>
        </w:rPr>
        <w:t>本</w:t>
      </w:r>
      <w:r>
        <w:rPr>
          <w:rFonts w:hint="eastAsia" w:ascii="Times New Roman" w:hAnsi="Times New Roman" w:eastAsia="方正仿宋简体" w:cs="Times New Roman"/>
          <w:sz w:val="32"/>
          <w:szCs w:val="32"/>
          <w:lang w:eastAsia="zh-CN"/>
        </w:rPr>
        <w:t>次</w:t>
      </w:r>
      <w:r>
        <w:rPr>
          <w:rFonts w:hint="default" w:ascii="Times New Roman" w:hAnsi="Times New Roman" w:eastAsia="方正仿宋简体" w:cs="Times New Roman"/>
          <w:sz w:val="32"/>
          <w:szCs w:val="32"/>
        </w:rPr>
        <w:t>拟发行</w:t>
      </w:r>
      <w:r>
        <w:rPr>
          <w:rFonts w:hint="eastAsia" w:ascii="Times New Roman" w:hAnsi="Times New Roman" w:eastAsia="方正仿宋简体" w:cs="Times New Roman"/>
          <w:sz w:val="32"/>
          <w:szCs w:val="32"/>
          <w:lang w:val="en-US" w:eastAsia="zh-CN"/>
        </w:rPr>
        <w:t>3989.85</w:t>
      </w:r>
      <w:bookmarkStart w:id="124" w:name="_GoBack"/>
      <w:bookmarkEnd w:id="124"/>
      <w:r>
        <w:rPr>
          <w:rFonts w:hint="default" w:ascii="Times New Roman" w:hAnsi="Times New Roman" w:eastAsia="方正仿宋简体" w:cs="Times New Roman"/>
          <w:sz w:val="32"/>
          <w:szCs w:val="32"/>
        </w:rPr>
        <w:t>万元，期限1</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年。</w:t>
      </w:r>
    </w:p>
    <w:sectPr>
      <w:pgSz w:w="11906" w:h="16838"/>
      <w:pgMar w:top="2098" w:right="1418" w:bottom="1588" w:left="1644" w:header="851" w:footer="992" w:gutter="0"/>
      <w:pgNumType w:fmt="numberInDash"/>
      <w:cols w:space="720" w:num="1"/>
      <w:docGrid w:type="lines" w:linePitch="435" w:charSpace="0"/>
    </w:sectPr>
  </w:body>
</w:document>
</file>

<file path=word/customizations.xml><?xml version="1.0" encoding="utf-8"?>
<wne:tcg xmlns:r="http://schemas.openxmlformats.org/officeDocument/2006/relationships" xmlns:wne="http://schemas.microsoft.com/office/word/2006/wordml">
  <wne:keymaps>
    <wne:keymap wne:kcmPrimary="065A">
      <wne:acd wne:acdName="acd0"/>
    </wne:keymap>
  </wne:keymap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1" w:csb1="00000000"/>
  </w:font>
  <w:font w:name="方正小标宋简体">
    <w:panose1 w:val="03000509000000000000"/>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Arial Narrow">
    <w:altName w:val="Times New Roman"/>
    <w:panose1 w:val="020B0606020202030204"/>
    <w:charset w:val="00"/>
    <w:family w:val="swiss"/>
    <w:pitch w:val="default"/>
    <w:sig w:usb0="00000000" w:usb1="00000000" w:usb2="00000000" w:usb3="00000000" w:csb0="2000009F" w:csb1="DFD70000"/>
  </w:font>
  <w:font w:name="华文仿宋">
    <w:altName w:val="仿宋"/>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宋体 (正文)">
    <w:altName w:val="宋体"/>
    <w:panose1 w:val="00000000000000000000"/>
    <w:charset w:val="00"/>
    <w:family w:val="auto"/>
    <w:pitch w:val="default"/>
    <w:sig w:usb0="00000000" w:usb1="00000000" w:usb2="00000000" w:usb3="00000000" w:csb0="00040001" w:csb1="00000000"/>
  </w:font>
  <w:font w:name="KSOF0B7949D1">
    <w:panose1 w:val="0201060004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791E5">
    <w:pPr>
      <w:pStyle w:val="25"/>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F924BCC">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giEOjzAEAAKcDAAAOAAAAAAAAAAEAIAAAAB4BAABkcnMvZTJv&#10;RG9jLnhtbFBLBQYAAAAABgAGAFkBAABcBQAAAAA=&#10;">
              <v:fill on="f" focussize="0,0"/>
              <v:stroke on="f"/>
              <v:imagedata o:title=""/>
              <o:lock v:ext="edit" aspectratio="f"/>
              <v:textbox inset="0mm,0mm,0mm,0mm" style="mso-fit-shape-to-text:t;">
                <w:txbxContent>
                  <w:p w14:paraId="0F924BCC">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F7CA0">
    <w:pPr>
      <w:pStyle w:val="26"/>
      <w:tabs>
        <w:tab w:val="right" w:pos="9000"/>
        <w:tab w:val="clear" w:pos="9020"/>
      </w:tabs>
    </w:pPr>
    <w:r>
      <mc:AlternateContent>
        <mc:Choice Requires="wps">
          <w:drawing>
            <wp:anchor distT="0" distB="0" distL="114300" distR="114300" simplePos="0" relativeHeight="251659264" behindDoc="1" locked="0" layoutInCell="1" allowOverlap="1">
              <wp:simplePos x="0" y="0"/>
              <wp:positionH relativeFrom="page">
                <wp:posOffset>3722370</wp:posOffset>
              </wp:positionH>
              <wp:positionV relativeFrom="page">
                <wp:posOffset>9833610</wp:posOffset>
              </wp:positionV>
              <wp:extent cx="114935" cy="131445"/>
              <wp:effectExtent l="0" t="0" r="0" b="0"/>
              <wp:wrapNone/>
              <wp:docPr id="1073741827" name="文本框 1073741827" descr="officeArt object"/>
              <wp:cNvGraphicFramePr/>
              <a:graphic xmlns:a="http://schemas.openxmlformats.org/drawingml/2006/main">
                <a:graphicData uri="http://schemas.microsoft.com/office/word/2010/wordprocessingShape">
                  <wps:wsp>
                    <wps:cNvSpPr txBox="1"/>
                    <wps:spPr>
                      <a:xfrm>
                        <a:off x="0" y="0"/>
                        <a:ext cx="114936" cy="131446"/>
                      </a:xfrm>
                      <a:prstGeom prst="rect">
                        <a:avLst/>
                      </a:prstGeom>
                      <a:noFill/>
                      <a:ln w="12700" cap="flat">
                        <a:noFill/>
                        <a:miter lim="400000"/>
                      </a:ln>
                      <a:effectLst/>
                    </wps:spPr>
                    <wps:txbx>
                      <w:txbxContent>
                        <w:p w14:paraId="68007616">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wps:txbx>
                    <wps:bodyPr wrap="square" lIns="0" tIns="0" rIns="0" bIns="0" numCol="1" anchor="t">
                      <a:noAutofit/>
                    </wps:bodyPr>
                  </wps:wsp>
                </a:graphicData>
              </a:graphic>
            </wp:anchor>
          </w:drawing>
        </mc:Choice>
        <mc:Fallback>
          <w:pict>
            <v:shape id="_x0000_s1026" o:spid="_x0000_s1026" o:spt="202" alt="officeArt object" type="#_x0000_t202" style="position:absolute;left:0pt;margin-left:293.1pt;margin-top:774.3pt;height:10.35pt;width:9.05pt;mso-position-horizontal-relative:page;mso-position-vertical-relative:page;z-index:-251657216;mso-width-relative:page;mso-height-relative:page;" filled="f" stroked="f" coordsize="21600,21600" o:gfxdata="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YKnjNoAAAANAQAADwAAAAAAAAABACAA&#10;AAAiAAAAZHJzL2Rvd25yZXYueG1sUEsBAhQAFAAAAAgAh07iQOenbXULAgAACAQAAA4AAAAAAAAA&#10;AQAgAAAAKQEAAGRycy9lMm9Eb2MueG1sUEsFBgAAAAAGAAYAWQEAAKYFAAAAAA==&#10;">
              <v:fill on="f" focussize="0,0"/>
              <v:stroke on="f" weight="1pt" miterlimit="4" joinstyle="miter"/>
              <v:imagedata o:title=""/>
              <o:lock v:ext="edit" aspectratio="f"/>
              <v:textbox inset="0mm,0mm,0mm,0mm">
                <w:txbxContent>
                  <w:p w14:paraId="68007616">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7DD30D"/>
    <w:multiLevelType w:val="multilevel"/>
    <w:tmpl w:val="5D7DD30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7"/>
      <w:suff w:val="nothing"/>
      <w:lvlText w:val="（%4）"/>
      <w:lvlJc w:val="left"/>
      <w:pPr>
        <w:ind w:left="0" w:firstLine="402"/>
      </w:pPr>
      <w:rPr>
        <w:rFonts w:hint="eastAsia"/>
      </w:rPr>
    </w:lvl>
    <w:lvl w:ilvl="4" w:tentative="0">
      <w:start w:val="1"/>
      <w:numFmt w:val="decimalEnclosedCircleChinese"/>
      <w:pStyle w:val="8"/>
      <w:suff w:val="nothing"/>
      <w:lvlText w:val="%5"/>
      <w:lvlJc w:val="left"/>
      <w:pPr>
        <w:ind w:left="0" w:firstLine="402"/>
      </w:pPr>
      <w:rPr>
        <w:rFonts w:hint="eastAsia"/>
      </w:rPr>
    </w:lvl>
    <w:lvl w:ilvl="5" w:tentative="0">
      <w:start w:val="1"/>
      <w:numFmt w:val="decimal"/>
      <w:pStyle w:val="9"/>
      <w:suff w:val="nothing"/>
      <w:lvlText w:val="%6）"/>
      <w:lvlJc w:val="left"/>
      <w:pPr>
        <w:ind w:left="0" w:firstLine="402"/>
      </w:pPr>
      <w:rPr>
        <w:rFonts w:hint="eastAsia"/>
      </w:rPr>
    </w:lvl>
    <w:lvl w:ilvl="6" w:tentative="0">
      <w:start w:val="1"/>
      <w:numFmt w:val="lowerLetter"/>
      <w:pStyle w:val="10"/>
      <w:suff w:val="nothing"/>
      <w:lvlText w:val="%7．"/>
      <w:lvlJc w:val="left"/>
      <w:pPr>
        <w:ind w:left="0" w:firstLine="402"/>
      </w:pPr>
      <w:rPr>
        <w:rFonts w:hint="eastAsia"/>
      </w:rPr>
    </w:lvl>
    <w:lvl w:ilvl="7" w:tentative="0">
      <w:start w:val="1"/>
      <w:numFmt w:val="lowerLetter"/>
      <w:pStyle w:val="11"/>
      <w:suff w:val="nothing"/>
      <w:lvlText w:val="%8）"/>
      <w:lvlJc w:val="left"/>
      <w:pPr>
        <w:ind w:left="0" w:firstLine="402"/>
      </w:pPr>
      <w:rPr>
        <w:rFonts w:hint="eastAsia"/>
      </w:rPr>
    </w:lvl>
    <w:lvl w:ilvl="8" w:tentative="0">
      <w:start w:val="1"/>
      <w:numFmt w:val="lowerRoman"/>
      <w:pStyle w:val="12"/>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jYTE4MjZkNjJmOTJlZGI0ZmE2ZTNkNzAwNTBjZTYifQ=="/>
  </w:docVars>
  <w:rsids>
    <w:rsidRoot w:val="00172A27"/>
    <w:rsid w:val="000D34BB"/>
    <w:rsid w:val="00172A27"/>
    <w:rsid w:val="002D1099"/>
    <w:rsid w:val="006C5A2F"/>
    <w:rsid w:val="008113F1"/>
    <w:rsid w:val="008B7CF0"/>
    <w:rsid w:val="00914361"/>
    <w:rsid w:val="00F02F21"/>
    <w:rsid w:val="00F3407F"/>
    <w:rsid w:val="013C30B7"/>
    <w:rsid w:val="01A57F36"/>
    <w:rsid w:val="03DA4097"/>
    <w:rsid w:val="04500383"/>
    <w:rsid w:val="046E046D"/>
    <w:rsid w:val="05020F8F"/>
    <w:rsid w:val="06766115"/>
    <w:rsid w:val="076569CD"/>
    <w:rsid w:val="08122664"/>
    <w:rsid w:val="08B070E4"/>
    <w:rsid w:val="092A5646"/>
    <w:rsid w:val="09693B96"/>
    <w:rsid w:val="0A17403E"/>
    <w:rsid w:val="0AA566C4"/>
    <w:rsid w:val="0B032BA3"/>
    <w:rsid w:val="0BD274A5"/>
    <w:rsid w:val="0E0042AD"/>
    <w:rsid w:val="0E664872"/>
    <w:rsid w:val="0EEC63DE"/>
    <w:rsid w:val="105D4C8E"/>
    <w:rsid w:val="118738E3"/>
    <w:rsid w:val="11D03B9B"/>
    <w:rsid w:val="13712EB0"/>
    <w:rsid w:val="13B36581"/>
    <w:rsid w:val="13EF32B1"/>
    <w:rsid w:val="15B6242D"/>
    <w:rsid w:val="176C2BB7"/>
    <w:rsid w:val="188779D7"/>
    <w:rsid w:val="1915445F"/>
    <w:rsid w:val="1DD443CA"/>
    <w:rsid w:val="1DEF2178"/>
    <w:rsid w:val="1E840441"/>
    <w:rsid w:val="1EDE1C28"/>
    <w:rsid w:val="1FDB7DB2"/>
    <w:rsid w:val="22FF7A35"/>
    <w:rsid w:val="237C27AE"/>
    <w:rsid w:val="242C2DF9"/>
    <w:rsid w:val="25012038"/>
    <w:rsid w:val="25BA38DC"/>
    <w:rsid w:val="25E75E13"/>
    <w:rsid w:val="26081591"/>
    <w:rsid w:val="2625355A"/>
    <w:rsid w:val="27D149C9"/>
    <w:rsid w:val="287076C4"/>
    <w:rsid w:val="293F224C"/>
    <w:rsid w:val="29885326"/>
    <w:rsid w:val="29BD454B"/>
    <w:rsid w:val="2B54770F"/>
    <w:rsid w:val="2BF15CE4"/>
    <w:rsid w:val="2D2836D6"/>
    <w:rsid w:val="2F8A3A03"/>
    <w:rsid w:val="309E3D25"/>
    <w:rsid w:val="30DB4718"/>
    <w:rsid w:val="3144344A"/>
    <w:rsid w:val="32F862B4"/>
    <w:rsid w:val="339D76E7"/>
    <w:rsid w:val="34524E5B"/>
    <w:rsid w:val="357238F7"/>
    <w:rsid w:val="37FBC33E"/>
    <w:rsid w:val="380053AA"/>
    <w:rsid w:val="381A1632"/>
    <w:rsid w:val="38C22508"/>
    <w:rsid w:val="393D1514"/>
    <w:rsid w:val="39D72345"/>
    <w:rsid w:val="3A0C2CBB"/>
    <w:rsid w:val="3A2105C2"/>
    <w:rsid w:val="3AB07FCD"/>
    <w:rsid w:val="3C3C57EA"/>
    <w:rsid w:val="3C8F3AAB"/>
    <w:rsid w:val="3D7B1B13"/>
    <w:rsid w:val="3D9B595E"/>
    <w:rsid w:val="3F0C013F"/>
    <w:rsid w:val="3FE41F12"/>
    <w:rsid w:val="42B753BE"/>
    <w:rsid w:val="430D1C8A"/>
    <w:rsid w:val="43980DB3"/>
    <w:rsid w:val="44AF6B13"/>
    <w:rsid w:val="464C48A9"/>
    <w:rsid w:val="47653A42"/>
    <w:rsid w:val="47C6684B"/>
    <w:rsid w:val="48C3324F"/>
    <w:rsid w:val="49DA272C"/>
    <w:rsid w:val="49E51B21"/>
    <w:rsid w:val="4A994EE3"/>
    <w:rsid w:val="4B94424A"/>
    <w:rsid w:val="4BB501E6"/>
    <w:rsid w:val="4BB7159E"/>
    <w:rsid w:val="4C0E74D6"/>
    <w:rsid w:val="4C1662EE"/>
    <w:rsid w:val="4DEE1375"/>
    <w:rsid w:val="4F3A188D"/>
    <w:rsid w:val="4FAE3E40"/>
    <w:rsid w:val="4FE3537B"/>
    <w:rsid w:val="510475F3"/>
    <w:rsid w:val="51714D0B"/>
    <w:rsid w:val="5183597C"/>
    <w:rsid w:val="51AB250E"/>
    <w:rsid w:val="52AA0445"/>
    <w:rsid w:val="55E2376A"/>
    <w:rsid w:val="55F16B82"/>
    <w:rsid w:val="573E782C"/>
    <w:rsid w:val="577446E9"/>
    <w:rsid w:val="57B94B8F"/>
    <w:rsid w:val="57E32249"/>
    <w:rsid w:val="58414118"/>
    <w:rsid w:val="5AC52BAD"/>
    <w:rsid w:val="5AD54B55"/>
    <w:rsid w:val="5CD207B0"/>
    <w:rsid w:val="5D696CF0"/>
    <w:rsid w:val="5D941A1D"/>
    <w:rsid w:val="5F033932"/>
    <w:rsid w:val="61271BBA"/>
    <w:rsid w:val="629C2BE7"/>
    <w:rsid w:val="63115A8C"/>
    <w:rsid w:val="63CC759F"/>
    <w:rsid w:val="65CB08EA"/>
    <w:rsid w:val="66060C05"/>
    <w:rsid w:val="665F3E6D"/>
    <w:rsid w:val="66F4651A"/>
    <w:rsid w:val="66FD0891"/>
    <w:rsid w:val="67DD3F80"/>
    <w:rsid w:val="68180706"/>
    <w:rsid w:val="683E54BC"/>
    <w:rsid w:val="6A26501D"/>
    <w:rsid w:val="6A7E6E7B"/>
    <w:rsid w:val="6BB30CF6"/>
    <w:rsid w:val="6C382AE1"/>
    <w:rsid w:val="6C8A1C80"/>
    <w:rsid w:val="6DDE2AF6"/>
    <w:rsid w:val="6E1813C4"/>
    <w:rsid w:val="6E55356F"/>
    <w:rsid w:val="6F314AB7"/>
    <w:rsid w:val="70265F46"/>
    <w:rsid w:val="703640B3"/>
    <w:rsid w:val="7051605B"/>
    <w:rsid w:val="7088025C"/>
    <w:rsid w:val="70B86135"/>
    <w:rsid w:val="721C38B7"/>
    <w:rsid w:val="7406244E"/>
    <w:rsid w:val="747D05D0"/>
    <w:rsid w:val="749A5701"/>
    <w:rsid w:val="75110D85"/>
    <w:rsid w:val="759E3B4B"/>
    <w:rsid w:val="763804AD"/>
    <w:rsid w:val="77031528"/>
    <w:rsid w:val="774772DB"/>
    <w:rsid w:val="77D5031A"/>
    <w:rsid w:val="77E94330"/>
    <w:rsid w:val="7831551C"/>
    <w:rsid w:val="794E06BE"/>
    <w:rsid w:val="79EF0252"/>
    <w:rsid w:val="79F93CE3"/>
    <w:rsid w:val="7B111800"/>
    <w:rsid w:val="7B982BE8"/>
    <w:rsid w:val="7BBE38CE"/>
    <w:rsid w:val="7C3F5FBA"/>
    <w:rsid w:val="7CFF4D43"/>
    <w:rsid w:val="7D381B0F"/>
    <w:rsid w:val="7E2D1FB9"/>
    <w:rsid w:val="7F0B0AB8"/>
    <w:rsid w:val="CE5A9C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 w:hAnsi="仿宋" w:eastAsia="仿宋" w:cstheme="minorBidi"/>
      <w:kern w:val="2"/>
      <w:sz w:val="32"/>
      <w:szCs w:val="22"/>
      <w:lang w:val="en-US" w:eastAsia="zh-CN" w:bidi="ar-SA"/>
    </w:rPr>
  </w:style>
  <w:style w:type="paragraph" w:styleId="4">
    <w:name w:val="heading 1"/>
    <w:basedOn w:val="1"/>
    <w:next w:val="1"/>
    <w:link w:val="23"/>
    <w:qFormat/>
    <w:uiPriority w:val="0"/>
    <w:pPr>
      <w:spacing w:beforeLines="100" w:line="480" w:lineRule="auto"/>
      <w:ind w:firstLine="0" w:firstLineChars="0"/>
      <w:outlineLvl w:val="0"/>
    </w:pPr>
    <w:rPr>
      <w:rFonts w:eastAsia="宋体"/>
      <w:b/>
      <w:bCs/>
      <w:sz w:val="40"/>
      <w:szCs w:val="32"/>
    </w:rPr>
  </w:style>
  <w:style w:type="paragraph" w:styleId="5">
    <w:name w:val="heading 2"/>
    <w:basedOn w:val="1"/>
    <w:next w:val="1"/>
    <w:link w:val="22"/>
    <w:unhideWhenUsed/>
    <w:qFormat/>
    <w:uiPriority w:val="0"/>
    <w:pPr>
      <w:adjustRightInd w:val="0"/>
      <w:snapToGrid w:val="0"/>
      <w:spacing w:beforeLines="88" w:afterLines="88"/>
      <w:ind w:firstLine="0" w:firstLineChars="0"/>
      <w:outlineLvl w:val="1"/>
    </w:pPr>
    <w:rPr>
      <w:rFonts w:eastAsia="宋体" w:cs="Times New Roman" w:asciiTheme="minorHAnsi" w:hAnsiTheme="minorHAnsi"/>
      <w:b/>
      <w:sz w:val="36"/>
      <w:szCs w:val="20"/>
      <w:lang w:val="en-GB"/>
    </w:rPr>
  </w:style>
  <w:style w:type="paragraph" w:styleId="6">
    <w:name w:val="heading 3"/>
    <w:basedOn w:val="1"/>
    <w:next w:val="1"/>
    <w:link w:val="24"/>
    <w:unhideWhenUsed/>
    <w:qFormat/>
    <w:uiPriority w:val="0"/>
    <w:pPr>
      <w:keepNext/>
      <w:keepLines/>
      <w:tabs>
        <w:tab w:val="left" w:pos="0"/>
      </w:tabs>
      <w:spacing w:before="50" w:after="50"/>
      <w:outlineLvl w:val="2"/>
    </w:pPr>
    <w:rPr>
      <w:rFonts w:ascii="宋体" w:hAnsi="宋体" w:eastAsia="宋体" w:cs="Times New Roman"/>
      <w:b/>
      <w:szCs w:val="32"/>
    </w:rPr>
  </w:style>
  <w:style w:type="paragraph" w:styleId="7">
    <w:name w:val="heading 4"/>
    <w:basedOn w:val="1"/>
    <w:next w:val="1"/>
    <w:unhideWhenUsed/>
    <w:qFormat/>
    <w:uiPriority w:val="0"/>
    <w:pPr>
      <w:keepNext/>
      <w:keepLines/>
      <w:numPr>
        <w:ilvl w:val="3"/>
        <w:numId w:val="1"/>
      </w:numPr>
      <w:spacing w:line="372" w:lineRule="auto"/>
      <w:outlineLvl w:val="3"/>
    </w:pPr>
    <w:rPr>
      <w:rFonts w:ascii="Arial" w:hAnsi="Arial" w:eastAsia="黑体"/>
      <w:b/>
      <w:sz w:val="28"/>
    </w:rPr>
  </w:style>
  <w:style w:type="paragraph" w:styleId="8">
    <w:name w:val="heading 5"/>
    <w:basedOn w:val="1"/>
    <w:next w:val="1"/>
    <w:unhideWhenUsed/>
    <w:qFormat/>
    <w:uiPriority w:val="0"/>
    <w:pPr>
      <w:keepNext/>
      <w:keepLines/>
      <w:numPr>
        <w:ilvl w:val="4"/>
        <w:numId w:val="1"/>
      </w:numPr>
      <w:spacing w:line="372" w:lineRule="auto"/>
      <w:outlineLvl w:val="4"/>
    </w:pPr>
    <w:rPr>
      <w:b/>
      <w:sz w:val="28"/>
    </w:rPr>
  </w:style>
  <w:style w:type="paragraph" w:styleId="9">
    <w:name w:val="heading 6"/>
    <w:basedOn w:val="1"/>
    <w:next w:val="1"/>
    <w:unhideWhenUsed/>
    <w:qFormat/>
    <w:uiPriority w:val="0"/>
    <w:pPr>
      <w:keepNext/>
      <w:keepLines/>
      <w:numPr>
        <w:ilvl w:val="5"/>
        <w:numId w:val="1"/>
      </w:numPr>
      <w:spacing w:line="317" w:lineRule="auto"/>
      <w:outlineLvl w:val="5"/>
    </w:pPr>
    <w:rPr>
      <w:rFonts w:ascii="Arial" w:hAnsi="Arial" w:eastAsia="黑体"/>
      <w:b/>
      <w:sz w:val="24"/>
    </w:rPr>
  </w:style>
  <w:style w:type="paragraph" w:styleId="10">
    <w:name w:val="heading 7"/>
    <w:basedOn w:val="1"/>
    <w:next w:val="1"/>
    <w:unhideWhenUsed/>
    <w:qFormat/>
    <w:uiPriority w:val="0"/>
    <w:pPr>
      <w:keepNext/>
      <w:keepLines/>
      <w:numPr>
        <w:ilvl w:val="6"/>
        <w:numId w:val="1"/>
      </w:numPr>
      <w:spacing w:line="317" w:lineRule="auto"/>
      <w:outlineLvl w:val="6"/>
    </w:pPr>
    <w:rPr>
      <w:b/>
      <w:sz w:val="24"/>
    </w:rPr>
  </w:style>
  <w:style w:type="paragraph" w:styleId="11">
    <w:name w:val="heading 8"/>
    <w:basedOn w:val="1"/>
    <w:next w:val="1"/>
    <w:unhideWhenUsed/>
    <w:qFormat/>
    <w:uiPriority w:val="0"/>
    <w:pPr>
      <w:keepNext/>
      <w:keepLines/>
      <w:numPr>
        <w:ilvl w:val="7"/>
        <w:numId w:val="1"/>
      </w:numPr>
      <w:spacing w:line="317" w:lineRule="auto"/>
      <w:outlineLvl w:val="7"/>
    </w:pPr>
    <w:rPr>
      <w:rFonts w:ascii="Arial" w:hAnsi="Arial" w:eastAsia="黑体"/>
      <w:sz w:val="24"/>
    </w:rPr>
  </w:style>
  <w:style w:type="paragraph" w:styleId="12">
    <w:name w:val="heading 9"/>
    <w:basedOn w:val="1"/>
    <w:next w:val="1"/>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ind w:firstLine="567"/>
    </w:pPr>
    <w:rPr>
      <w:rFonts w:ascii="宋体" w:hAnsi="宋体" w:eastAsia="宋体"/>
      <w:color w:val="000000"/>
      <w:u w:color="000000"/>
    </w:rPr>
  </w:style>
  <w:style w:type="paragraph" w:styleId="3">
    <w:name w:val="toc 1"/>
    <w:basedOn w:val="1"/>
    <w:next w:val="1"/>
    <w:qFormat/>
    <w:uiPriority w:val="0"/>
    <w:pPr>
      <w:adjustRightInd w:val="0"/>
      <w:snapToGrid w:val="0"/>
      <w:spacing w:before="120" w:line="288" w:lineRule="auto"/>
      <w:ind w:left="113" w:firstLine="0" w:firstLineChars="0"/>
      <w:jc w:val="left"/>
    </w:pPr>
    <w:rPr>
      <w:rFonts w:ascii="Arial" w:hAnsi="Arial"/>
      <w:bCs/>
      <w:iCs/>
      <w:sz w:val="28"/>
    </w:rPr>
  </w:style>
  <w:style w:type="paragraph" w:styleId="13">
    <w:name w:val="annotation text"/>
    <w:basedOn w:val="1"/>
    <w:qFormat/>
    <w:uiPriority w:val="0"/>
    <w:pPr>
      <w:jc w:val="left"/>
    </w:pPr>
  </w:style>
  <w:style w:type="paragraph" w:styleId="14">
    <w:name w:val="Body Text Indent"/>
    <w:basedOn w:val="1"/>
    <w:qFormat/>
    <w:uiPriority w:val="0"/>
    <w:pPr>
      <w:ind w:left="420" w:leftChars="200"/>
    </w:pPr>
  </w:style>
  <w:style w:type="paragraph" w:styleId="15">
    <w:name w:val="footer"/>
    <w:qFormat/>
    <w:uiPriority w:val="0"/>
    <w:pPr>
      <w:widowControl w:val="0"/>
      <w:tabs>
        <w:tab w:val="center" w:pos="4153"/>
        <w:tab w:val="right" w:pos="8306"/>
      </w:tabs>
      <w:snapToGrid w:val="0"/>
      <w:spacing w:line="560" w:lineRule="exact"/>
      <w:ind w:firstLine="880" w:firstLineChars="200"/>
    </w:pPr>
    <w:rPr>
      <w:rFonts w:ascii="仿宋_GB2312" w:hAnsi="仿宋" w:eastAsia="仿宋_GB2312" w:cs="Times New Roman"/>
      <w:kern w:val="2"/>
      <w:sz w:val="18"/>
      <w:szCs w:val="18"/>
      <w:lang w:val="en-US" w:eastAsia="zh-CN" w:bidi="ar-SA"/>
    </w:rPr>
  </w:style>
  <w:style w:type="paragraph" w:styleId="16">
    <w:name w:val="header"/>
    <w:qFormat/>
    <w:uiPriority w:val="0"/>
    <w:pPr>
      <w:widowControl w:val="0"/>
      <w:tabs>
        <w:tab w:val="center" w:pos="4153"/>
        <w:tab w:val="right" w:pos="8306"/>
      </w:tabs>
      <w:snapToGrid w:val="0"/>
      <w:spacing w:line="620" w:lineRule="exact"/>
      <w:ind w:firstLine="200" w:firstLineChars="200"/>
      <w:jc w:val="center"/>
    </w:pPr>
    <w:rPr>
      <w:rFonts w:ascii="仿宋_GB2312" w:hAnsi="仿宋" w:eastAsia="仿宋_GB2312" w:cs="Times New Roman"/>
      <w:kern w:val="2"/>
      <w:sz w:val="18"/>
      <w:szCs w:val="18"/>
      <w:lang w:val="en-US" w:eastAsia="zh-CN" w:bidi="ar-SA"/>
    </w:rPr>
  </w:style>
  <w:style w:type="paragraph" w:styleId="17">
    <w:name w:val="table of figures"/>
    <w:basedOn w:val="1"/>
    <w:next w:val="1"/>
    <w:qFormat/>
    <w:uiPriority w:val="0"/>
    <w:pPr>
      <w:ind w:left="200" w:leftChars="200" w:hanging="200" w:hangingChars="200"/>
      <w:jc w:val="left"/>
    </w:pPr>
  </w:style>
  <w:style w:type="paragraph" w:styleId="18">
    <w:name w:val="Body Text First Indent 2"/>
    <w:basedOn w:val="14"/>
    <w:next w:val="1"/>
    <w:qFormat/>
    <w:uiPriority w:val="0"/>
    <w:pPr>
      <w:ind w:firstLine="42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2">
    <w:name w:val="标题 2 Char"/>
    <w:link w:val="5"/>
    <w:qFormat/>
    <w:uiPriority w:val="9"/>
    <w:rPr>
      <w:rFonts w:eastAsia="宋体" w:cs="Times New Roman" w:asciiTheme="minorHAnsi" w:hAnsiTheme="minorHAnsi"/>
      <w:b/>
      <w:sz w:val="36"/>
      <w:szCs w:val="20"/>
      <w:lang w:val="en-GB"/>
    </w:rPr>
  </w:style>
  <w:style w:type="character" w:customStyle="1" w:styleId="23">
    <w:name w:val="标题 1 Char"/>
    <w:link w:val="4"/>
    <w:qFormat/>
    <w:uiPriority w:val="9"/>
    <w:rPr>
      <w:rFonts w:ascii="仿宋" w:hAnsi="仿宋" w:eastAsia="宋体" w:cs="仿宋"/>
      <w:b/>
      <w:bCs/>
      <w:kern w:val="44"/>
      <w:sz w:val="40"/>
      <w:szCs w:val="44"/>
      <w:lang w:val="zh-CN" w:bidi="zh-CN"/>
    </w:rPr>
  </w:style>
  <w:style w:type="character" w:customStyle="1" w:styleId="24">
    <w:name w:val="标题 3 Char"/>
    <w:link w:val="6"/>
    <w:qFormat/>
    <w:uiPriority w:val="9"/>
    <w:rPr>
      <w:rFonts w:ascii="宋体" w:hAnsi="宋体" w:eastAsia="宋体" w:cs="Times New Roman"/>
      <w:b/>
      <w:szCs w:val="32"/>
    </w:rPr>
  </w:style>
  <w:style w:type="paragraph" w:customStyle="1" w:styleId="25">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26">
    <w:name w:val="页眉与页脚 B"/>
    <w:qFormat/>
    <w:uiPriority w:val="0"/>
    <w:pPr>
      <w:widowControl w:val="0"/>
      <w:tabs>
        <w:tab w:val="right" w:pos="9020"/>
      </w:tabs>
      <w:jc w:val="both"/>
    </w:pPr>
    <w:rPr>
      <w:rFonts w:ascii="Helvetica Neue" w:hAnsi="Helvetica Neue" w:eastAsia="Helvetica Neue" w:cs="Helvetica Neue"/>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3151</Words>
  <Characters>3311</Characters>
  <Lines>31</Lines>
  <Paragraphs>22</Paragraphs>
  <TotalTime>9</TotalTime>
  <ScaleCrop>false</ScaleCrop>
  <LinksUpToDate>false</LinksUpToDate>
  <CharactersWithSpaces>3311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2019-12-07T07:59:00Z</dcterms:created>
  <dc:creator>对天爱</dc:creator>
  <cp:lastModifiedBy>Jkqczj</cp:lastModifiedBy>
  <cp:lastPrinted>2021-10-21T01:30:00Z</cp:lastPrinted>
  <dcterms:modified xsi:type="dcterms:W3CDTF">2025-12-17T07:48:30Z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06AD954607D418EA25E77867FFC4C195_43</vt:lpwstr>
  </property>
  <property fmtid="{D5CDD505-2E9C-101B-9397-08002B2CF9AE}" pid="4" name="KSOTemplateDocerSaveRecord">
    <vt:lpwstr>eyJoZGlkIjoiNGI3YzYwZWU5MWI1OGNkY2JjZjJiMWQxYjgxZTM3YjgiLCJ1c2VySWQiOiIzMTU1NDc4NDkifQ==</vt:lpwstr>
  </property>
</Properties>
</file>